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2"/>
        <w:keepNext/>
        <w:keepLines/>
        <w:pageBreakBefore w:val="0"/>
        <w:widowControl w:val="0"/>
        <w:shd w:val="clear" w:color="auto" w:fill="auto"/>
        <w:kinsoku/>
        <w:wordWrap/>
        <w:overflowPunct/>
        <w:topLinePunct w:val="0"/>
        <w:autoSpaceDE/>
        <w:autoSpaceDN/>
        <w:bidi w:val="0"/>
        <w:adjustRightInd/>
        <w:snapToGrid/>
        <w:spacing w:before="0" w:after="0" w:line="560" w:lineRule="exact"/>
        <w:ind w:left="0" w:right="0" w:firstLine="0"/>
        <w:jc w:val="center"/>
        <w:textAlignment w:val="auto"/>
        <w:rPr>
          <w:rFonts w:hint="eastAsia" w:ascii="方正小标宋_GBK" w:hAnsi="方正小标宋_GBK" w:eastAsia="方正小标宋_GBK" w:cs="方正小标宋_GBK"/>
          <w:b/>
          <w:bCs/>
          <w:color w:val="000000"/>
          <w:spacing w:val="0"/>
          <w:w w:val="100"/>
          <w:position w:val="0"/>
        </w:rPr>
      </w:pPr>
      <w:bookmarkStart w:id="0" w:name="bookmark6"/>
      <w:bookmarkStart w:id="1" w:name="bookmark8"/>
      <w:bookmarkStart w:id="2" w:name="bookmark7"/>
      <w:r>
        <w:rPr>
          <w:rFonts w:hint="eastAsia" w:ascii="方正小标宋_GBK" w:hAnsi="方正小标宋_GBK" w:eastAsia="方正小标宋_GBK" w:cs="方正小标宋_GBK"/>
          <w:b/>
          <w:bCs/>
          <w:color w:val="000000"/>
          <w:spacing w:val="0"/>
          <w:w w:val="100"/>
          <w:position w:val="0"/>
        </w:rPr>
        <w:t>东莞市城市轨道交通乘客守则</w:t>
      </w:r>
      <w:bookmarkEnd w:id="0"/>
      <w:bookmarkEnd w:id="1"/>
      <w:bookmarkEnd w:id="2"/>
    </w:p>
    <w:p>
      <w:pPr>
        <w:pStyle w:val="12"/>
        <w:keepNext/>
        <w:keepLines/>
        <w:pageBreakBefore w:val="0"/>
        <w:widowControl w:val="0"/>
        <w:shd w:val="clear" w:color="auto" w:fill="auto"/>
        <w:kinsoku/>
        <w:wordWrap/>
        <w:overflowPunct/>
        <w:topLinePunct w:val="0"/>
        <w:autoSpaceDE/>
        <w:autoSpaceDN/>
        <w:bidi w:val="0"/>
        <w:adjustRightInd/>
        <w:snapToGrid/>
        <w:spacing w:before="0" w:after="0" w:line="560" w:lineRule="exact"/>
        <w:ind w:left="0" w:right="0" w:firstLine="0"/>
        <w:jc w:val="center"/>
        <w:textAlignment w:val="auto"/>
        <w:rPr>
          <w:rFonts w:hint="eastAsia" w:ascii="方正楷体_GBK" w:hAnsi="方正楷体_GBK" w:eastAsia="方正楷体_GBK" w:cs="方正楷体_GBK"/>
          <w:color w:val="000000"/>
          <w:spacing w:val="0"/>
          <w:w w:val="100"/>
          <w:position w:val="0"/>
          <w:sz w:val="32"/>
          <w:szCs w:val="32"/>
          <w:lang w:eastAsia="zh-CN"/>
        </w:rPr>
      </w:pPr>
      <w:r>
        <w:rPr>
          <w:rFonts w:hint="eastAsia" w:ascii="方正楷体_GBK" w:hAnsi="方正楷体_GBK" w:eastAsia="方正楷体_GBK" w:cs="方正楷体_GBK"/>
          <w:color w:val="000000"/>
          <w:spacing w:val="0"/>
          <w:w w:val="100"/>
          <w:position w:val="0"/>
          <w:sz w:val="32"/>
          <w:szCs w:val="32"/>
          <w:lang w:eastAsia="zh-CN"/>
        </w:rPr>
        <w:t>（修订征求意见稿）</w:t>
      </w:r>
    </w:p>
    <w:p>
      <w:pPr>
        <w:pStyle w:val="12"/>
        <w:keepNext/>
        <w:keepLines/>
        <w:pageBreakBefore w:val="0"/>
        <w:widowControl w:val="0"/>
        <w:shd w:val="clear" w:color="auto" w:fill="auto"/>
        <w:kinsoku/>
        <w:wordWrap/>
        <w:overflowPunct/>
        <w:topLinePunct w:val="0"/>
        <w:autoSpaceDE/>
        <w:autoSpaceDN/>
        <w:bidi w:val="0"/>
        <w:adjustRightInd/>
        <w:snapToGrid/>
        <w:spacing w:before="0" w:after="0" w:line="560" w:lineRule="exact"/>
        <w:ind w:left="0" w:right="0" w:firstLine="0"/>
        <w:jc w:val="center"/>
        <w:textAlignment w:val="auto"/>
        <w:rPr>
          <w:rFonts w:hint="eastAsia" w:ascii="方正楷体_GBK" w:hAnsi="方正楷体_GBK" w:eastAsia="方正楷体_GBK" w:cs="方正楷体_GBK"/>
          <w:color w:val="000000"/>
          <w:spacing w:val="0"/>
          <w:w w:val="100"/>
          <w:position w:val="0"/>
          <w:sz w:val="32"/>
          <w:szCs w:val="32"/>
          <w:lang w:eastAsia="zh-CN"/>
        </w:rPr>
      </w:pPr>
    </w:p>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60" w:lineRule="exact"/>
        <w:ind w:left="0" w:right="0" w:firstLine="642"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color w:val="000000"/>
          <w:spacing w:val="0"/>
          <w:w w:val="100"/>
          <w:position w:val="0"/>
          <w:sz w:val="32"/>
          <w:szCs w:val="32"/>
        </w:rPr>
        <w:t>第一条</w:t>
      </w:r>
      <w:r>
        <w:rPr>
          <w:rFonts w:hint="eastAsia" w:ascii="仿宋_GB2312" w:hAnsi="仿宋_GB2312" w:eastAsia="仿宋_GB2312" w:cs="仿宋_GB2312"/>
          <w:b/>
          <w:bCs/>
          <w:color w:val="000000"/>
          <w:spacing w:val="0"/>
          <w:w w:val="100"/>
          <w:position w:val="0"/>
          <w:sz w:val="32"/>
          <w:szCs w:val="32"/>
          <w:lang w:val="en-US" w:eastAsia="zh-CN"/>
        </w:rPr>
        <w:t xml:space="preserve"> </w:t>
      </w:r>
      <w:r>
        <w:rPr>
          <w:rFonts w:hint="eastAsia" w:ascii="仿宋_GB2312" w:hAnsi="仿宋_GB2312" w:eastAsia="仿宋_GB2312" w:cs="仿宋_GB2312"/>
          <w:color w:val="000000"/>
          <w:spacing w:val="0"/>
          <w:w w:val="100"/>
          <w:position w:val="0"/>
          <w:sz w:val="32"/>
          <w:szCs w:val="32"/>
        </w:rPr>
        <w:t>为保障我市城市轨道交通运营秩序，创造安全、高效、和谐的乘车环境，根据《东莞市城市轨道交通运营管理办法》，制定本守则。</w:t>
      </w:r>
    </w:p>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60" w:lineRule="exact"/>
        <w:ind w:left="0" w:right="0" w:firstLine="642"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color w:val="000000"/>
          <w:spacing w:val="0"/>
          <w:w w:val="100"/>
          <w:position w:val="0"/>
          <w:sz w:val="32"/>
          <w:szCs w:val="32"/>
        </w:rPr>
        <w:t>第二条</w:t>
      </w:r>
      <w:r>
        <w:rPr>
          <w:rFonts w:hint="eastAsia" w:ascii="仿宋_GB2312" w:hAnsi="仿宋_GB2312" w:eastAsia="仿宋_GB2312" w:cs="仿宋_GB2312"/>
          <w:b/>
          <w:bCs/>
          <w:color w:val="000000"/>
          <w:spacing w:val="0"/>
          <w:w w:val="100"/>
          <w:position w:val="0"/>
          <w:sz w:val="32"/>
          <w:szCs w:val="32"/>
          <w:lang w:val="en-US" w:eastAsia="zh-CN"/>
        </w:rPr>
        <w:t xml:space="preserve"> </w:t>
      </w:r>
      <w:r>
        <w:rPr>
          <w:rFonts w:hint="eastAsia" w:ascii="仿宋_GB2312" w:hAnsi="仿宋_GB2312" w:eastAsia="仿宋_GB2312" w:cs="仿宋_GB2312"/>
          <w:color w:val="000000"/>
          <w:spacing w:val="0"/>
          <w:w w:val="100"/>
          <w:position w:val="0"/>
          <w:sz w:val="32"/>
          <w:szCs w:val="32"/>
        </w:rPr>
        <w:t>凡进入我市城市轨道交通车站范围（含出入口、通道）者应当遵守《东莞市城市轨道交通运营管理办法》及本守则的规定。</w:t>
      </w:r>
    </w:p>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60" w:lineRule="exact"/>
        <w:ind w:left="0" w:right="0" w:firstLine="642"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color w:val="000000"/>
          <w:spacing w:val="0"/>
          <w:w w:val="100"/>
          <w:position w:val="0"/>
          <w:sz w:val="32"/>
          <w:szCs w:val="32"/>
        </w:rPr>
        <w:t>第三条</w:t>
      </w:r>
      <w:r>
        <w:rPr>
          <w:rFonts w:hint="eastAsia" w:ascii="仿宋_GB2312" w:hAnsi="仿宋_GB2312" w:eastAsia="仿宋_GB2312" w:cs="仿宋_GB2312"/>
          <w:b/>
          <w:bCs/>
          <w:color w:val="000000"/>
          <w:spacing w:val="0"/>
          <w:w w:val="100"/>
          <w:position w:val="0"/>
          <w:sz w:val="32"/>
          <w:szCs w:val="32"/>
          <w:lang w:val="en-US" w:eastAsia="zh-CN"/>
        </w:rPr>
        <w:t xml:space="preserve"> </w:t>
      </w:r>
      <w:r>
        <w:rPr>
          <w:rFonts w:hint="eastAsia" w:ascii="仿宋_GB2312" w:hAnsi="仿宋_GB2312" w:eastAsia="仿宋_GB2312" w:cs="仿宋_GB2312"/>
          <w:color w:val="000000"/>
          <w:spacing w:val="0"/>
          <w:w w:val="100"/>
          <w:position w:val="0"/>
          <w:sz w:val="32"/>
          <w:szCs w:val="32"/>
        </w:rPr>
        <w:t>城市轨道交通运营单位（以下简称运营单位）应当在城市轨道交通车站内公布本守则，乘客购买车票前，应当详细阅读相关规定和守则。</w:t>
      </w:r>
    </w:p>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60" w:lineRule="exact"/>
        <w:ind w:left="0" w:right="0" w:firstLine="642"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color w:val="000000"/>
          <w:spacing w:val="0"/>
          <w:w w:val="100"/>
          <w:position w:val="0"/>
          <w:sz w:val="32"/>
          <w:szCs w:val="32"/>
        </w:rPr>
        <w:t>第四条</w:t>
      </w:r>
      <w:r>
        <w:rPr>
          <w:rFonts w:hint="eastAsia" w:ascii="仿宋_GB2312" w:hAnsi="仿宋_GB2312" w:eastAsia="仿宋_GB2312" w:cs="仿宋_GB2312"/>
          <w:b/>
          <w:bCs/>
          <w:color w:val="000000"/>
          <w:spacing w:val="0"/>
          <w:w w:val="100"/>
          <w:position w:val="0"/>
          <w:sz w:val="32"/>
          <w:szCs w:val="32"/>
          <w:lang w:val="en-US" w:eastAsia="zh-CN"/>
        </w:rPr>
        <w:t xml:space="preserve"> </w:t>
      </w:r>
      <w:r>
        <w:rPr>
          <w:rFonts w:hint="eastAsia" w:ascii="仿宋_GB2312" w:hAnsi="仿宋_GB2312" w:eastAsia="仿宋_GB2312" w:cs="仿宋_GB2312"/>
          <w:color w:val="000000"/>
          <w:spacing w:val="0"/>
          <w:w w:val="100"/>
          <w:position w:val="0"/>
          <w:sz w:val="32"/>
          <w:szCs w:val="32"/>
          <w:highlight w:val="none"/>
          <w:lang w:val="en-US" w:eastAsia="zh-CN"/>
        </w:rPr>
        <w:t>城市轨道交通</w:t>
      </w:r>
      <w:r>
        <w:rPr>
          <w:rFonts w:hint="eastAsia" w:ascii="仿宋_GB2312" w:hAnsi="仿宋_GB2312" w:eastAsia="仿宋_GB2312" w:cs="仿宋_GB2312"/>
          <w:color w:val="000000"/>
          <w:spacing w:val="0"/>
          <w:w w:val="100"/>
          <w:position w:val="0"/>
          <w:sz w:val="32"/>
          <w:szCs w:val="32"/>
          <w:highlight w:val="none"/>
        </w:rPr>
        <w:t>票价</w:t>
      </w:r>
      <w:r>
        <w:rPr>
          <w:rFonts w:hint="eastAsia" w:ascii="仿宋_GB2312" w:hAnsi="仿宋_GB2312" w:eastAsia="仿宋_GB2312" w:cs="仿宋_GB2312"/>
          <w:color w:val="000000"/>
          <w:spacing w:val="0"/>
          <w:w w:val="100"/>
          <w:position w:val="0"/>
          <w:sz w:val="32"/>
          <w:szCs w:val="32"/>
        </w:rPr>
        <w:t>和票价优惠按市政府相关规定执行。国家、省、市在票务方面有特别规定的，适用特别规定。</w:t>
      </w:r>
    </w:p>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60" w:lineRule="exact"/>
        <w:ind w:left="0" w:right="0" w:firstLine="642" w:firstLineChars="200"/>
        <w:jc w:val="both"/>
        <w:textAlignment w:val="auto"/>
        <w:rPr>
          <w:rFonts w:hint="eastAsia" w:ascii="仿宋_GB2312" w:hAnsi="仿宋_GB2312" w:eastAsia="仿宋_GB2312" w:cs="仿宋_GB2312"/>
          <w:color w:val="000000"/>
          <w:spacing w:val="0"/>
          <w:w w:val="100"/>
          <w:position w:val="0"/>
          <w:sz w:val="32"/>
          <w:szCs w:val="32"/>
          <w:highlight w:val="none"/>
          <w:lang w:val="en-US" w:eastAsia="zh-CN"/>
        </w:rPr>
      </w:pPr>
      <w:r>
        <w:rPr>
          <w:rFonts w:hint="eastAsia" w:ascii="仿宋_GB2312" w:hAnsi="仿宋_GB2312" w:eastAsia="仿宋_GB2312" w:cs="仿宋_GB2312"/>
          <w:b/>
          <w:bCs/>
          <w:color w:val="000000"/>
          <w:spacing w:val="0"/>
          <w:w w:val="100"/>
          <w:position w:val="0"/>
          <w:sz w:val="32"/>
          <w:szCs w:val="32"/>
        </w:rPr>
        <w:t>第五条</w:t>
      </w:r>
      <w:r>
        <w:rPr>
          <w:rFonts w:hint="eastAsia" w:ascii="仿宋_GB2312" w:hAnsi="仿宋_GB2312" w:eastAsia="仿宋_GB2312" w:cs="仿宋_GB2312"/>
          <w:b/>
          <w:bCs/>
          <w:color w:val="000000"/>
          <w:spacing w:val="0"/>
          <w:w w:val="100"/>
          <w:position w:val="0"/>
          <w:sz w:val="32"/>
          <w:szCs w:val="32"/>
          <w:lang w:val="en-US" w:eastAsia="zh-CN"/>
        </w:rPr>
        <w:t xml:space="preserve"> </w:t>
      </w:r>
      <w:r>
        <w:rPr>
          <w:rFonts w:hint="eastAsia" w:ascii="仿宋_GB2312" w:hAnsi="仿宋_GB2312" w:eastAsia="仿宋_GB2312" w:cs="仿宋_GB2312"/>
          <w:color w:val="000000"/>
          <w:spacing w:val="0"/>
          <w:w w:val="100"/>
          <w:position w:val="0"/>
          <w:sz w:val="32"/>
          <w:szCs w:val="32"/>
          <w:highlight w:val="none"/>
          <w:lang w:val="en-US" w:eastAsia="zh-CN"/>
        </w:rPr>
        <w:t>乘客持有效乘车凭证进入车站付费区，实行一人一票制，乘客应当使用同一乘车凭证进、出闸，同一乘车凭证不可多人同时使用。</w:t>
      </w:r>
    </w:p>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60" w:lineRule="exact"/>
        <w:ind w:left="0" w:right="0" w:firstLine="642"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b/>
          <w:bCs/>
          <w:color w:val="000000"/>
          <w:spacing w:val="0"/>
          <w:w w:val="100"/>
          <w:position w:val="0"/>
          <w:sz w:val="32"/>
          <w:szCs w:val="32"/>
        </w:rPr>
        <w:t>第六条</w:t>
      </w:r>
      <w:r>
        <w:rPr>
          <w:rFonts w:hint="eastAsia" w:ascii="仿宋_GB2312" w:hAnsi="仿宋_GB2312" w:eastAsia="仿宋_GB2312" w:cs="仿宋_GB2312"/>
          <w:b/>
          <w:bCs/>
          <w:color w:val="000000"/>
          <w:spacing w:val="0"/>
          <w:w w:val="100"/>
          <w:position w:val="0"/>
          <w:sz w:val="32"/>
          <w:szCs w:val="32"/>
          <w:lang w:val="en-US" w:eastAsia="zh-CN"/>
        </w:rPr>
        <w:t xml:space="preserve"> </w:t>
      </w:r>
      <w:r>
        <w:rPr>
          <w:rFonts w:hint="eastAsia" w:ascii="仿宋_GB2312" w:hAnsi="仿宋_GB2312" w:eastAsia="仿宋_GB2312" w:cs="仿宋_GB2312"/>
          <w:color w:val="000000"/>
          <w:spacing w:val="0"/>
          <w:w w:val="100"/>
          <w:position w:val="0"/>
          <w:sz w:val="32"/>
          <w:szCs w:val="32"/>
          <w:lang w:val="en-US" w:eastAsia="zh-CN"/>
        </w:rPr>
        <w:t>营造儿童友好出行环境，一名成</w:t>
      </w:r>
      <w:r>
        <w:rPr>
          <w:rFonts w:hint="eastAsia" w:ascii="仿宋_GB2312" w:hAnsi="仿宋_GB2312" w:eastAsia="仿宋_GB2312" w:cs="仿宋_GB2312"/>
          <w:color w:val="000000"/>
          <w:spacing w:val="0"/>
          <w:w w:val="100"/>
          <w:position w:val="0"/>
          <w:sz w:val="32"/>
          <w:szCs w:val="32"/>
          <w:highlight w:val="none"/>
          <w:lang w:val="en-US" w:eastAsia="zh-CN"/>
        </w:rPr>
        <w:t>年乘客可免费携带两名身高不超过1.3米（含1.3米）的儿童进站乘车；所携带儿童超过两名的，超出儿童须凭有效车票乘车。</w:t>
      </w:r>
    </w:p>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60" w:lineRule="exact"/>
        <w:ind w:left="0" w:right="0" w:firstLine="642"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color w:val="000000"/>
          <w:spacing w:val="0"/>
          <w:w w:val="100"/>
          <w:position w:val="0"/>
          <w:sz w:val="32"/>
          <w:szCs w:val="32"/>
        </w:rPr>
        <w:t>第七条</w:t>
      </w:r>
      <w:r>
        <w:rPr>
          <w:rFonts w:hint="eastAsia" w:ascii="仿宋_GB2312" w:hAnsi="仿宋_GB2312" w:eastAsia="仿宋_GB2312" w:cs="仿宋_GB2312"/>
          <w:b/>
          <w:bCs/>
          <w:color w:val="000000"/>
          <w:spacing w:val="0"/>
          <w:w w:val="100"/>
          <w:position w:val="0"/>
          <w:sz w:val="32"/>
          <w:szCs w:val="32"/>
          <w:lang w:val="en-US" w:eastAsia="zh-CN"/>
        </w:rPr>
        <w:t xml:space="preserve"> </w:t>
      </w:r>
      <w:r>
        <w:rPr>
          <w:rFonts w:hint="eastAsia" w:ascii="仿宋_GB2312" w:hAnsi="仿宋_GB2312" w:eastAsia="仿宋_GB2312" w:cs="仿宋_GB2312"/>
          <w:color w:val="000000"/>
          <w:spacing w:val="0"/>
          <w:w w:val="100"/>
          <w:position w:val="0"/>
          <w:sz w:val="32"/>
          <w:szCs w:val="32"/>
        </w:rPr>
        <w:t>单程票在发售当站、当日进闸乘车有效。</w:t>
      </w:r>
    </w:p>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60" w:lineRule="exact"/>
        <w:ind w:left="0" w:right="0" w:firstLine="642" w:firstLineChars="200"/>
        <w:jc w:val="both"/>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b/>
          <w:bCs/>
          <w:color w:val="000000"/>
          <w:spacing w:val="0"/>
          <w:w w:val="100"/>
          <w:position w:val="0"/>
          <w:sz w:val="32"/>
          <w:szCs w:val="32"/>
        </w:rPr>
        <w:t>第八条</w:t>
      </w:r>
      <w:r>
        <w:rPr>
          <w:rFonts w:hint="eastAsia" w:ascii="仿宋_GB2312" w:hAnsi="仿宋_GB2312" w:eastAsia="仿宋_GB2312" w:cs="仿宋_GB2312"/>
          <w:b/>
          <w:bCs/>
          <w:color w:val="000000"/>
          <w:spacing w:val="0"/>
          <w:w w:val="100"/>
          <w:position w:val="0"/>
          <w:sz w:val="32"/>
          <w:szCs w:val="32"/>
          <w:lang w:val="en-US" w:eastAsia="zh-CN"/>
        </w:rPr>
        <w:t xml:space="preserve"> </w:t>
      </w:r>
      <w:r>
        <w:rPr>
          <w:rFonts w:hint="eastAsia" w:ascii="仿宋_GB2312" w:hAnsi="仿宋_GB2312" w:eastAsia="仿宋_GB2312" w:cs="仿宋_GB2312"/>
          <w:color w:val="000000"/>
          <w:spacing w:val="0"/>
          <w:w w:val="100"/>
          <w:position w:val="0"/>
          <w:sz w:val="32"/>
          <w:szCs w:val="32"/>
        </w:rPr>
        <w:t>安检单位应当按照城市轨道交通安全检查的相关要求对乘客进行安全检查。乘客应当接受、配合安全检查。对拒不配合检查的，安检单位有权阻止其进站或者责令其出站；对强行进站或者拒不出站、扰乱公共秩序的，由公安机关依法处</w:t>
      </w:r>
      <w:r>
        <w:rPr>
          <w:rFonts w:hint="eastAsia" w:ascii="仿宋_GB2312" w:hAnsi="仿宋_GB2312" w:eastAsia="仿宋_GB2312" w:cs="仿宋_GB2312"/>
          <w:color w:val="000000"/>
          <w:spacing w:val="0"/>
          <w:w w:val="100"/>
          <w:position w:val="0"/>
          <w:sz w:val="32"/>
          <w:szCs w:val="32"/>
          <w:highlight w:val="none"/>
        </w:rPr>
        <w:t>理。</w:t>
      </w:r>
      <w:r>
        <w:rPr>
          <w:rFonts w:hint="eastAsia" w:ascii="仿宋_GB2312" w:hAnsi="仿宋_GB2312" w:eastAsia="仿宋_GB2312" w:cs="仿宋_GB2312"/>
          <w:color w:val="000000"/>
          <w:spacing w:val="0"/>
          <w:w w:val="100"/>
          <w:position w:val="0"/>
          <w:sz w:val="32"/>
          <w:szCs w:val="32"/>
          <w:highlight w:val="none"/>
          <w:lang w:val="en-US" w:eastAsia="zh-CN"/>
        </w:rPr>
        <w:t>城市轨道交通</w:t>
      </w:r>
      <w:r>
        <w:rPr>
          <w:rFonts w:hint="eastAsia" w:ascii="仿宋_GB2312" w:hAnsi="仿宋_GB2312" w:eastAsia="仿宋_GB2312" w:cs="仿宋_GB2312"/>
          <w:color w:val="000000"/>
          <w:spacing w:val="0"/>
          <w:w w:val="100"/>
          <w:position w:val="0"/>
          <w:sz w:val="32"/>
          <w:szCs w:val="32"/>
          <w:highlight w:val="none"/>
        </w:rPr>
        <w:t>禁止、限制携带物品目录</w:t>
      </w:r>
      <w:r>
        <w:rPr>
          <w:rFonts w:hint="eastAsia" w:ascii="仿宋_GB2312" w:hAnsi="仿宋_GB2312" w:eastAsia="仿宋_GB2312" w:cs="仿宋_GB2312"/>
          <w:color w:val="000000"/>
          <w:spacing w:val="0"/>
          <w:w w:val="100"/>
          <w:position w:val="0"/>
          <w:sz w:val="32"/>
          <w:szCs w:val="32"/>
          <w:highlight w:val="none"/>
          <w:lang w:val="en-US" w:eastAsia="zh-CN"/>
        </w:rPr>
        <w:t>根据中华人民共和国公安部或有关部门规定，由运营单位结合工作实际另行制定发布。</w:t>
      </w:r>
    </w:p>
    <w:p>
      <w:pPr>
        <w:pStyle w:val="10"/>
        <w:keepNext w:val="0"/>
        <w:keepLines w:val="0"/>
        <w:pageBreakBefore w:val="0"/>
        <w:widowControl w:val="0"/>
        <w:shd w:val="clear" w:color="auto" w:fill="auto"/>
        <w:tabs>
          <w:tab w:val="left" w:pos="5400"/>
        </w:tabs>
        <w:kinsoku/>
        <w:wordWrap/>
        <w:overflowPunct/>
        <w:topLinePunct w:val="0"/>
        <w:autoSpaceDE/>
        <w:autoSpaceDN/>
        <w:bidi w:val="0"/>
        <w:adjustRightInd/>
        <w:snapToGrid/>
        <w:spacing w:before="0" w:after="0" w:line="560" w:lineRule="exact"/>
        <w:ind w:left="0" w:right="0" w:firstLine="642"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color w:val="000000"/>
          <w:spacing w:val="0"/>
          <w:w w:val="100"/>
          <w:position w:val="0"/>
          <w:sz w:val="32"/>
          <w:szCs w:val="32"/>
        </w:rPr>
        <w:t>第九条</w:t>
      </w:r>
      <w:r>
        <w:rPr>
          <w:rFonts w:hint="eastAsia" w:ascii="仿宋_GB2312" w:hAnsi="仿宋_GB2312" w:eastAsia="仿宋_GB2312" w:cs="仿宋_GB2312"/>
          <w:b/>
          <w:bCs/>
          <w:color w:val="000000"/>
          <w:spacing w:val="0"/>
          <w:w w:val="100"/>
          <w:position w:val="0"/>
          <w:sz w:val="32"/>
          <w:szCs w:val="32"/>
          <w:lang w:val="en-US" w:eastAsia="zh-CN"/>
        </w:rPr>
        <w:t xml:space="preserve"> </w:t>
      </w:r>
      <w:r>
        <w:rPr>
          <w:rFonts w:hint="eastAsia" w:ascii="仿宋_GB2312" w:hAnsi="仿宋_GB2312" w:eastAsia="仿宋_GB2312" w:cs="仿宋_GB2312"/>
          <w:color w:val="000000"/>
          <w:spacing w:val="0"/>
          <w:w w:val="100"/>
          <w:position w:val="0"/>
          <w:sz w:val="32"/>
          <w:szCs w:val="32"/>
        </w:rPr>
        <w:t>禁止携带下列物品进入车站或者其他城市轨道交通设施，安检单位工作人员一旦发现，可拒绝其进站乘车或者交由公安机关依法处罚；</w:t>
      </w:r>
      <w:r>
        <w:rPr>
          <w:rFonts w:hint="eastAsia" w:ascii="仿宋_GB2312" w:hAnsi="仿宋_GB2312" w:eastAsia="仿宋_GB2312" w:cs="仿宋_GB2312"/>
          <w:color w:val="000000"/>
          <w:spacing w:val="0"/>
          <w:w w:val="100"/>
          <w:position w:val="0"/>
          <w:sz w:val="32"/>
          <w:szCs w:val="32"/>
        </w:rPr>
        <w:tab/>
      </w:r>
    </w:p>
    <w:p>
      <w:pPr>
        <w:pStyle w:val="10"/>
        <w:keepNext w:val="0"/>
        <w:keepLines w:val="0"/>
        <w:pageBreakBefore w:val="0"/>
        <w:widowControl w:val="0"/>
        <w:shd w:val="clear" w:color="auto" w:fill="auto"/>
        <w:tabs>
          <w:tab w:val="left" w:pos="1614"/>
        </w:tabs>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sz w:val="32"/>
          <w:szCs w:val="32"/>
        </w:rPr>
      </w:pPr>
      <w:bookmarkStart w:id="3" w:name="bookmark9"/>
      <w:r>
        <w:rPr>
          <w:rFonts w:hint="eastAsia" w:ascii="仿宋_GB2312" w:hAnsi="仿宋_GB2312" w:eastAsia="仿宋_GB2312" w:cs="仿宋_GB2312"/>
          <w:color w:val="000000"/>
          <w:spacing w:val="0"/>
          <w:w w:val="100"/>
          <w:position w:val="0"/>
          <w:sz w:val="32"/>
          <w:szCs w:val="32"/>
        </w:rPr>
        <w:t>（</w:t>
      </w:r>
      <w:bookmarkEnd w:id="3"/>
      <w:r>
        <w:rPr>
          <w:rFonts w:hint="eastAsia" w:ascii="仿宋_GB2312" w:hAnsi="仿宋_GB2312" w:eastAsia="仿宋_GB2312" w:cs="仿宋_GB2312"/>
          <w:color w:val="000000"/>
          <w:spacing w:val="0"/>
          <w:w w:val="100"/>
          <w:position w:val="0"/>
          <w:sz w:val="32"/>
          <w:szCs w:val="32"/>
        </w:rPr>
        <w:t>一）易燃、易爆、有毒、放射性、腐蚀性等危险品；</w:t>
      </w:r>
    </w:p>
    <w:p>
      <w:pPr>
        <w:pStyle w:val="10"/>
        <w:keepNext w:val="0"/>
        <w:keepLines w:val="0"/>
        <w:pageBreakBefore w:val="0"/>
        <w:widowControl w:val="0"/>
        <w:shd w:val="clear" w:color="auto" w:fill="auto"/>
        <w:tabs>
          <w:tab w:val="left" w:pos="1626"/>
        </w:tabs>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sz w:val="32"/>
          <w:szCs w:val="32"/>
        </w:rPr>
      </w:pPr>
      <w:bookmarkStart w:id="4" w:name="bookmark10"/>
      <w:r>
        <w:rPr>
          <w:rFonts w:hint="eastAsia" w:ascii="仿宋_GB2312" w:hAnsi="仿宋_GB2312" w:eastAsia="仿宋_GB2312" w:cs="仿宋_GB2312"/>
          <w:color w:val="000000"/>
          <w:spacing w:val="0"/>
          <w:w w:val="100"/>
          <w:position w:val="0"/>
          <w:sz w:val="32"/>
          <w:szCs w:val="32"/>
        </w:rPr>
        <w:t>（</w:t>
      </w:r>
      <w:bookmarkEnd w:id="4"/>
      <w:r>
        <w:rPr>
          <w:rFonts w:hint="eastAsia" w:ascii="仿宋_GB2312" w:hAnsi="仿宋_GB2312" w:eastAsia="仿宋_GB2312" w:cs="仿宋_GB2312"/>
          <w:color w:val="000000"/>
          <w:spacing w:val="0"/>
          <w:w w:val="100"/>
          <w:position w:val="0"/>
          <w:sz w:val="32"/>
          <w:szCs w:val="32"/>
        </w:rPr>
        <w:t>二）非法持有的枪械弹药和管制器具（国家安全、军务、警务、海关等特种人员持有效证件执行公务的除外）；</w:t>
      </w:r>
    </w:p>
    <w:p>
      <w:pPr>
        <w:pStyle w:val="10"/>
        <w:keepNext w:val="0"/>
        <w:keepLines w:val="0"/>
        <w:pageBreakBefore w:val="0"/>
        <w:widowControl w:val="0"/>
        <w:shd w:val="clear" w:color="auto" w:fill="auto"/>
        <w:tabs>
          <w:tab w:val="left" w:pos="1626"/>
        </w:tabs>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sz w:val="32"/>
          <w:szCs w:val="32"/>
          <w:highlight w:val="none"/>
        </w:rPr>
      </w:pPr>
      <w:bookmarkStart w:id="5" w:name="bookmark11"/>
      <w:r>
        <w:rPr>
          <w:rFonts w:hint="eastAsia" w:ascii="仿宋_GB2312" w:hAnsi="仿宋_GB2312" w:eastAsia="仿宋_GB2312" w:cs="仿宋_GB2312"/>
          <w:color w:val="000000"/>
          <w:spacing w:val="0"/>
          <w:w w:val="100"/>
          <w:position w:val="0"/>
          <w:sz w:val="32"/>
          <w:szCs w:val="32"/>
        </w:rPr>
        <w:t>（</w:t>
      </w:r>
      <w:bookmarkEnd w:id="5"/>
      <w:r>
        <w:rPr>
          <w:rFonts w:hint="eastAsia" w:ascii="仿宋_GB2312" w:hAnsi="仿宋_GB2312" w:eastAsia="仿宋_GB2312" w:cs="仿宋_GB2312"/>
          <w:color w:val="000000"/>
          <w:spacing w:val="0"/>
          <w:w w:val="100"/>
          <w:position w:val="0"/>
          <w:sz w:val="32"/>
          <w:szCs w:val="32"/>
        </w:rPr>
        <w:t>三）</w:t>
      </w:r>
      <w:r>
        <w:rPr>
          <w:rFonts w:hint="eastAsia" w:ascii="仿宋_GB2312" w:hAnsi="仿宋_GB2312" w:eastAsia="仿宋_GB2312" w:cs="仿宋_GB2312"/>
          <w:color w:val="000000"/>
          <w:spacing w:val="0"/>
          <w:w w:val="100"/>
          <w:position w:val="0"/>
          <w:sz w:val="32"/>
          <w:szCs w:val="32"/>
          <w:highlight w:val="none"/>
          <w:lang w:val="en-US" w:eastAsia="zh-CN"/>
        </w:rPr>
        <w:t>猫、狗等宠物、畜禽等活体动物</w:t>
      </w:r>
      <w:r>
        <w:rPr>
          <w:rFonts w:hint="eastAsia" w:ascii="仿宋_GB2312" w:hAnsi="仿宋_GB2312" w:eastAsia="仿宋_GB2312" w:cs="仿宋_GB2312"/>
          <w:color w:val="000000"/>
          <w:spacing w:val="0"/>
          <w:w w:val="100"/>
          <w:position w:val="0"/>
          <w:sz w:val="32"/>
          <w:szCs w:val="32"/>
          <w:highlight w:val="none"/>
        </w:rPr>
        <w:t>或</w:t>
      </w:r>
      <w:r>
        <w:rPr>
          <w:rFonts w:hint="eastAsia" w:ascii="仿宋_GB2312" w:hAnsi="仿宋_GB2312" w:eastAsia="仿宋_GB2312" w:cs="仿宋_GB2312"/>
          <w:color w:val="000000"/>
          <w:spacing w:val="0"/>
          <w:w w:val="100"/>
          <w:position w:val="0"/>
          <w:sz w:val="32"/>
          <w:szCs w:val="32"/>
        </w:rPr>
        <w:t>者其他可能妨碍城市轨道交通运营安全的动物（正在执行公务的专用动物和有识别标志的服务犬除外）；</w:t>
      </w:r>
    </w:p>
    <w:p>
      <w:pPr>
        <w:pStyle w:val="10"/>
        <w:keepNext w:val="0"/>
        <w:keepLines w:val="0"/>
        <w:pageBreakBefore w:val="0"/>
        <w:widowControl w:val="0"/>
        <w:shd w:val="clear" w:color="auto" w:fill="auto"/>
        <w:tabs>
          <w:tab w:val="left" w:pos="1621"/>
        </w:tabs>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sz w:val="32"/>
          <w:szCs w:val="32"/>
          <w:highlight w:val="none"/>
        </w:rPr>
      </w:pPr>
      <w:bookmarkStart w:id="6" w:name="bookmark12"/>
      <w:r>
        <w:rPr>
          <w:rFonts w:hint="eastAsia" w:ascii="仿宋_GB2312" w:hAnsi="仿宋_GB2312" w:eastAsia="仿宋_GB2312" w:cs="仿宋_GB2312"/>
          <w:color w:val="000000"/>
          <w:spacing w:val="0"/>
          <w:w w:val="100"/>
          <w:position w:val="0"/>
          <w:sz w:val="32"/>
          <w:szCs w:val="32"/>
          <w:highlight w:val="none"/>
        </w:rPr>
        <w:t>（</w:t>
      </w:r>
      <w:bookmarkEnd w:id="6"/>
      <w:r>
        <w:rPr>
          <w:rFonts w:hint="eastAsia" w:ascii="仿宋_GB2312" w:hAnsi="仿宋_GB2312" w:eastAsia="仿宋_GB2312" w:cs="仿宋_GB2312"/>
          <w:color w:val="000000"/>
          <w:spacing w:val="0"/>
          <w:w w:val="100"/>
          <w:position w:val="0"/>
          <w:sz w:val="32"/>
          <w:szCs w:val="32"/>
          <w:highlight w:val="none"/>
        </w:rPr>
        <w:t>四）易污损设施、无包装易碎和尖锐的物品；</w:t>
      </w:r>
    </w:p>
    <w:p>
      <w:pPr>
        <w:pStyle w:val="10"/>
        <w:keepNext w:val="0"/>
        <w:keepLines w:val="0"/>
        <w:pageBreakBefore w:val="0"/>
        <w:widowControl w:val="0"/>
        <w:shd w:val="clear" w:color="auto" w:fill="auto"/>
        <w:tabs>
          <w:tab w:val="left" w:pos="1633"/>
        </w:tabs>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sz w:val="32"/>
          <w:szCs w:val="32"/>
        </w:rPr>
      </w:pPr>
      <w:bookmarkStart w:id="7" w:name="bookmark13"/>
      <w:r>
        <w:rPr>
          <w:rFonts w:hint="eastAsia" w:ascii="仿宋_GB2312" w:hAnsi="仿宋_GB2312" w:eastAsia="仿宋_GB2312" w:cs="仿宋_GB2312"/>
          <w:color w:val="000000"/>
          <w:spacing w:val="0"/>
          <w:w w:val="100"/>
          <w:position w:val="0"/>
          <w:sz w:val="32"/>
          <w:szCs w:val="32"/>
          <w:highlight w:val="none"/>
        </w:rPr>
        <w:t>（</w:t>
      </w:r>
      <w:bookmarkEnd w:id="7"/>
      <w:r>
        <w:rPr>
          <w:rFonts w:hint="eastAsia" w:ascii="仿宋_GB2312" w:hAnsi="仿宋_GB2312" w:eastAsia="仿宋_GB2312" w:cs="仿宋_GB2312"/>
          <w:color w:val="000000"/>
          <w:spacing w:val="0"/>
          <w:w w:val="100"/>
          <w:position w:val="0"/>
          <w:sz w:val="32"/>
          <w:szCs w:val="32"/>
          <w:highlight w:val="none"/>
        </w:rPr>
        <w:t>五）充气气球、锄头、扁担、运货平板推车（空车折叠且符合行李规范的除外）、自行车（已折叠且符合行李规范的折叠自行车除外）、</w:t>
      </w:r>
      <w:r>
        <w:rPr>
          <w:rFonts w:hint="eastAsia" w:ascii="仿宋_GB2312" w:hAnsi="仿宋_GB2312" w:eastAsia="仿宋_GB2312" w:cs="仿宋_GB2312"/>
          <w:color w:val="000000"/>
          <w:spacing w:val="0"/>
          <w:w w:val="100"/>
          <w:position w:val="0"/>
          <w:sz w:val="32"/>
          <w:szCs w:val="32"/>
          <w:highlight w:val="none"/>
          <w:lang w:val="en-US" w:eastAsia="zh-CN"/>
        </w:rPr>
        <w:t>除无障碍用途电动轮椅外的</w:t>
      </w:r>
      <w:r>
        <w:rPr>
          <w:rFonts w:hint="eastAsia" w:ascii="仿宋_GB2312" w:hAnsi="仿宋_GB2312" w:eastAsia="仿宋_GB2312" w:cs="仿宋_GB2312"/>
          <w:color w:val="000000"/>
          <w:spacing w:val="0"/>
          <w:w w:val="100"/>
          <w:position w:val="0"/>
          <w:sz w:val="32"/>
          <w:szCs w:val="32"/>
          <w:highlight w:val="none"/>
        </w:rPr>
        <w:t>电动类车（含电动车、电动自行车、</w:t>
      </w:r>
      <w:r>
        <w:rPr>
          <w:rFonts w:hint="eastAsia" w:ascii="仿宋_GB2312" w:hAnsi="仿宋_GB2312" w:eastAsia="仿宋_GB2312" w:cs="仿宋_GB2312"/>
          <w:color w:val="000000"/>
          <w:spacing w:val="0"/>
          <w:w w:val="100"/>
          <w:position w:val="0"/>
          <w:sz w:val="32"/>
          <w:szCs w:val="32"/>
        </w:rPr>
        <w:t>电动滑板车、电动平衡车、电动独轮车等）或者其他可能妨碍他人在站（车）内通行、危及他人人身安全或者影响城市轨道交通设施安全的物品；</w:t>
      </w:r>
    </w:p>
    <w:p>
      <w:pPr>
        <w:pStyle w:val="10"/>
        <w:keepNext w:val="0"/>
        <w:keepLines w:val="0"/>
        <w:pageBreakBefore w:val="0"/>
        <w:widowControl w:val="0"/>
        <w:shd w:val="clear" w:color="auto" w:fill="auto"/>
        <w:tabs>
          <w:tab w:val="left" w:pos="1633"/>
        </w:tabs>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sz w:val="32"/>
          <w:szCs w:val="32"/>
        </w:rPr>
      </w:pPr>
      <w:bookmarkStart w:id="8" w:name="bookmark14"/>
      <w:r>
        <w:rPr>
          <w:rFonts w:hint="eastAsia" w:ascii="仿宋_GB2312" w:hAnsi="仿宋_GB2312" w:eastAsia="仿宋_GB2312" w:cs="仿宋_GB2312"/>
          <w:color w:val="000000"/>
          <w:spacing w:val="0"/>
          <w:w w:val="100"/>
          <w:position w:val="0"/>
          <w:sz w:val="32"/>
          <w:szCs w:val="32"/>
        </w:rPr>
        <w:t>（</w:t>
      </w:r>
      <w:bookmarkEnd w:id="8"/>
      <w:r>
        <w:rPr>
          <w:rFonts w:hint="eastAsia" w:ascii="仿宋_GB2312" w:hAnsi="仿宋_GB2312" w:eastAsia="仿宋_GB2312" w:cs="仿宋_GB2312"/>
          <w:color w:val="000000"/>
          <w:spacing w:val="0"/>
          <w:w w:val="100"/>
          <w:position w:val="0"/>
          <w:sz w:val="32"/>
          <w:szCs w:val="32"/>
        </w:rPr>
        <w:t>六）行李总重量超过30公斤或者外部尺寸长、宽、高之和超过</w:t>
      </w:r>
      <w:r>
        <w:rPr>
          <w:rFonts w:hint="eastAsia" w:ascii="仿宋_GB2312" w:hAnsi="仿宋_GB2312" w:eastAsia="仿宋_GB2312" w:cs="仿宋_GB2312"/>
          <w:color w:val="000000"/>
          <w:spacing w:val="0"/>
          <w:w w:val="100"/>
          <w:position w:val="0"/>
          <w:sz w:val="32"/>
          <w:szCs w:val="32"/>
          <w:lang w:val="en-US" w:eastAsia="en-US" w:bidi="en-US"/>
        </w:rPr>
        <w:t>1.6</w:t>
      </w:r>
      <w:r>
        <w:rPr>
          <w:rFonts w:hint="eastAsia" w:ascii="仿宋_GB2312" w:hAnsi="仿宋_GB2312" w:eastAsia="仿宋_GB2312" w:cs="仿宋_GB2312"/>
          <w:color w:val="000000"/>
          <w:spacing w:val="0"/>
          <w:w w:val="100"/>
          <w:position w:val="0"/>
          <w:sz w:val="32"/>
          <w:szCs w:val="32"/>
        </w:rPr>
        <w:t>米的物品；</w:t>
      </w:r>
    </w:p>
    <w:p>
      <w:pPr>
        <w:pStyle w:val="10"/>
        <w:keepNext w:val="0"/>
        <w:keepLines w:val="0"/>
        <w:pageBreakBefore w:val="0"/>
        <w:widowControl w:val="0"/>
        <w:shd w:val="clear" w:color="auto" w:fill="auto"/>
        <w:tabs>
          <w:tab w:val="left" w:pos="1610"/>
        </w:tabs>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color w:val="000000"/>
          <w:spacing w:val="0"/>
          <w:w w:val="100"/>
          <w:position w:val="0"/>
          <w:sz w:val="32"/>
          <w:szCs w:val="32"/>
        </w:rPr>
      </w:pPr>
      <w:bookmarkStart w:id="9" w:name="bookmark15"/>
      <w:r>
        <w:rPr>
          <w:rFonts w:hint="eastAsia" w:ascii="仿宋_GB2312" w:hAnsi="仿宋_GB2312" w:eastAsia="仿宋_GB2312" w:cs="仿宋_GB2312"/>
          <w:color w:val="000000"/>
          <w:spacing w:val="0"/>
          <w:w w:val="100"/>
          <w:position w:val="0"/>
          <w:sz w:val="32"/>
          <w:szCs w:val="32"/>
        </w:rPr>
        <w:t>（</w:t>
      </w:r>
      <w:bookmarkEnd w:id="9"/>
      <w:r>
        <w:rPr>
          <w:rFonts w:hint="eastAsia" w:ascii="仿宋_GB2312" w:hAnsi="仿宋_GB2312" w:eastAsia="仿宋_GB2312" w:cs="仿宋_GB2312"/>
          <w:color w:val="000000"/>
          <w:spacing w:val="0"/>
          <w:w w:val="100"/>
          <w:position w:val="0"/>
          <w:sz w:val="32"/>
          <w:szCs w:val="32"/>
        </w:rPr>
        <w:t>七）其他影响公共安全、运营安全、公共卫生的物品。</w:t>
      </w:r>
    </w:p>
    <w:p>
      <w:pPr>
        <w:pStyle w:val="10"/>
        <w:keepNext w:val="0"/>
        <w:keepLines w:val="0"/>
        <w:pageBreakBefore w:val="0"/>
        <w:widowControl w:val="0"/>
        <w:shd w:val="clear" w:color="auto" w:fill="auto"/>
        <w:tabs>
          <w:tab w:val="left" w:pos="1610"/>
        </w:tabs>
        <w:kinsoku/>
        <w:wordWrap/>
        <w:overflowPunct/>
        <w:topLinePunct w:val="0"/>
        <w:autoSpaceDE/>
        <w:autoSpaceDN/>
        <w:bidi w:val="0"/>
        <w:adjustRightInd/>
        <w:snapToGrid/>
        <w:spacing w:before="0" w:after="0" w:line="560" w:lineRule="exact"/>
        <w:ind w:left="0" w:right="0" w:firstLine="642"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color w:val="000000"/>
          <w:spacing w:val="0"/>
          <w:w w:val="100"/>
          <w:position w:val="0"/>
          <w:sz w:val="32"/>
          <w:szCs w:val="32"/>
        </w:rPr>
        <w:t>第十条</w:t>
      </w:r>
      <w:r>
        <w:rPr>
          <w:rFonts w:hint="eastAsia" w:ascii="仿宋_GB2312" w:hAnsi="仿宋_GB2312" w:eastAsia="仿宋_GB2312" w:cs="仿宋_GB2312"/>
          <w:b/>
          <w:bCs/>
          <w:color w:val="000000"/>
          <w:spacing w:val="0"/>
          <w:w w:val="100"/>
          <w:position w:val="0"/>
          <w:sz w:val="32"/>
          <w:szCs w:val="32"/>
          <w:lang w:val="en-US" w:eastAsia="zh-CN"/>
        </w:rPr>
        <w:t xml:space="preserve"> </w:t>
      </w:r>
      <w:r>
        <w:rPr>
          <w:rFonts w:hint="eastAsia" w:ascii="仿宋_GB2312" w:hAnsi="仿宋_GB2312" w:eastAsia="仿宋_GB2312" w:cs="仿宋_GB2312"/>
          <w:color w:val="000000"/>
          <w:spacing w:val="0"/>
          <w:w w:val="100"/>
          <w:position w:val="0"/>
          <w:sz w:val="32"/>
          <w:szCs w:val="32"/>
        </w:rPr>
        <w:t>禁止下列危害城市轨道交通运营安全的行为：</w:t>
      </w:r>
    </w:p>
    <w:p>
      <w:pPr>
        <w:pStyle w:val="10"/>
        <w:keepNext w:val="0"/>
        <w:keepLines w:val="0"/>
        <w:pageBreakBefore w:val="0"/>
        <w:widowControl w:val="0"/>
        <w:shd w:val="clear" w:color="auto" w:fill="auto"/>
        <w:tabs>
          <w:tab w:val="left" w:pos="1618"/>
        </w:tabs>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sz w:val="32"/>
          <w:szCs w:val="32"/>
        </w:rPr>
      </w:pPr>
      <w:bookmarkStart w:id="10" w:name="bookmark16"/>
      <w:r>
        <w:rPr>
          <w:rFonts w:hint="eastAsia" w:ascii="仿宋_GB2312" w:hAnsi="仿宋_GB2312" w:eastAsia="仿宋_GB2312" w:cs="仿宋_GB2312"/>
          <w:color w:val="000000"/>
          <w:spacing w:val="0"/>
          <w:w w:val="100"/>
          <w:position w:val="0"/>
          <w:sz w:val="32"/>
          <w:szCs w:val="32"/>
        </w:rPr>
        <w:t>（</w:t>
      </w:r>
      <w:bookmarkEnd w:id="10"/>
      <w:r>
        <w:rPr>
          <w:rFonts w:hint="eastAsia" w:ascii="仿宋_GB2312" w:hAnsi="仿宋_GB2312" w:eastAsia="仿宋_GB2312" w:cs="仿宋_GB2312"/>
          <w:color w:val="000000"/>
          <w:spacing w:val="0"/>
          <w:w w:val="100"/>
          <w:position w:val="0"/>
          <w:sz w:val="32"/>
          <w:szCs w:val="32"/>
        </w:rPr>
        <w:t>一）擅自操作有警示标志的按钮、开关装</w:t>
      </w:r>
      <w:r>
        <w:rPr>
          <w:rFonts w:hint="eastAsia" w:ascii="仿宋_GB2312" w:hAnsi="仿宋_GB2312" w:eastAsia="仿宋_GB2312" w:cs="仿宋_GB2312"/>
          <w:color w:val="000000"/>
          <w:spacing w:val="0"/>
          <w:w w:val="100"/>
          <w:position w:val="0"/>
          <w:sz w:val="32"/>
          <w:szCs w:val="32"/>
          <w:highlight w:val="none"/>
        </w:rPr>
        <w:t>置、插座，</w:t>
      </w:r>
      <w:r>
        <w:rPr>
          <w:rFonts w:hint="eastAsia" w:ascii="仿宋_GB2312" w:hAnsi="仿宋_GB2312" w:eastAsia="仿宋_GB2312" w:cs="仿宋_GB2312"/>
          <w:color w:val="000000"/>
          <w:spacing w:val="0"/>
          <w:w w:val="100"/>
          <w:position w:val="0"/>
          <w:sz w:val="32"/>
          <w:szCs w:val="32"/>
        </w:rPr>
        <w:t>非紧急状态下动用紧急或者安全装置；</w:t>
      </w:r>
    </w:p>
    <w:p>
      <w:pPr>
        <w:pStyle w:val="10"/>
        <w:keepNext w:val="0"/>
        <w:keepLines w:val="0"/>
        <w:pageBreakBefore w:val="0"/>
        <w:widowControl w:val="0"/>
        <w:shd w:val="clear" w:color="auto" w:fill="auto"/>
        <w:tabs>
          <w:tab w:val="left" w:pos="1633"/>
        </w:tabs>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sz w:val="32"/>
          <w:szCs w:val="32"/>
        </w:rPr>
      </w:pPr>
      <w:bookmarkStart w:id="11" w:name="bookmark17"/>
      <w:r>
        <w:rPr>
          <w:rFonts w:hint="eastAsia" w:ascii="仿宋_GB2312" w:hAnsi="仿宋_GB2312" w:eastAsia="仿宋_GB2312" w:cs="仿宋_GB2312"/>
          <w:color w:val="000000"/>
          <w:spacing w:val="0"/>
          <w:w w:val="100"/>
          <w:position w:val="0"/>
          <w:sz w:val="32"/>
          <w:szCs w:val="32"/>
        </w:rPr>
        <w:t>（</w:t>
      </w:r>
      <w:bookmarkEnd w:id="11"/>
      <w:r>
        <w:rPr>
          <w:rFonts w:hint="eastAsia" w:ascii="仿宋_GB2312" w:hAnsi="仿宋_GB2312" w:eastAsia="仿宋_GB2312" w:cs="仿宋_GB2312"/>
          <w:color w:val="000000"/>
          <w:spacing w:val="0"/>
          <w:w w:val="100"/>
          <w:position w:val="0"/>
          <w:sz w:val="32"/>
          <w:szCs w:val="32"/>
        </w:rPr>
        <w:t>二）擅自移动、遮盖安全消防警示标志、疏散导向标志、测量设施以及安全防护设备；</w:t>
      </w:r>
    </w:p>
    <w:p>
      <w:pPr>
        <w:pStyle w:val="10"/>
        <w:keepNext w:val="0"/>
        <w:keepLines w:val="0"/>
        <w:pageBreakBefore w:val="0"/>
        <w:widowControl w:val="0"/>
        <w:shd w:val="clear" w:color="auto" w:fill="auto"/>
        <w:tabs>
          <w:tab w:val="left" w:pos="1633"/>
        </w:tabs>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sz w:val="32"/>
          <w:szCs w:val="32"/>
        </w:rPr>
      </w:pPr>
      <w:bookmarkStart w:id="12" w:name="bookmark18"/>
      <w:r>
        <w:rPr>
          <w:rFonts w:hint="eastAsia" w:ascii="仿宋_GB2312" w:hAnsi="仿宋_GB2312" w:eastAsia="仿宋_GB2312" w:cs="仿宋_GB2312"/>
          <w:color w:val="000000"/>
          <w:spacing w:val="0"/>
          <w:w w:val="100"/>
          <w:position w:val="0"/>
          <w:sz w:val="32"/>
          <w:szCs w:val="32"/>
        </w:rPr>
        <w:t>（</w:t>
      </w:r>
      <w:bookmarkEnd w:id="12"/>
      <w:r>
        <w:rPr>
          <w:rFonts w:hint="eastAsia" w:ascii="仿宋_GB2312" w:hAnsi="仿宋_GB2312" w:eastAsia="仿宋_GB2312" w:cs="仿宋_GB2312"/>
          <w:color w:val="000000"/>
          <w:spacing w:val="0"/>
          <w:w w:val="100"/>
          <w:position w:val="0"/>
          <w:sz w:val="32"/>
          <w:szCs w:val="32"/>
        </w:rPr>
        <w:t>三）在轨道上放置、丢弃障碍物，向城市轨道交通列车、机车、维修工程车等设施投掷物品；</w:t>
      </w:r>
    </w:p>
    <w:p>
      <w:pPr>
        <w:pStyle w:val="10"/>
        <w:keepNext w:val="0"/>
        <w:keepLines w:val="0"/>
        <w:pageBreakBefore w:val="0"/>
        <w:widowControl w:val="0"/>
        <w:shd w:val="clear" w:color="auto" w:fill="auto"/>
        <w:tabs>
          <w:tab w:val="left" w:pos="1647"/>
        </w:tabs>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sz w:val="32"/>
          <w:szCs w:val="32"/>
        </w:rPr>
      </w:pPr>
      <w:bookmarkStart w:id="13" w:name="bookmark19"/>
      <w:r>
        <w:rPr>
          <w:rFonts w:hint="eastAsia" w:ascii="仿宋_GB2312" w:hAnsi="仿宋_GB2312" w:eastAsia="仿宋_GB2312" w:cs="仿宋_GB2312"/>
          <w:color w:val="000000"/>
          <w:spacing w:val="0"/>
          <w:w w:val="100"/>
          <w:position w:val="0"/>
          <w:sz w:val="32"/>
          <w:szCs w:val="32"/>
        </w:rPr>
        <w:t>（</w:t>
      </w:r>
      <w:bookmarkEnd w:id="13"/>
      <w:r>
        <w:rPr>
          <w:rFonts w:hint="eastAsia" w:ascii="仿宋_GB2312" w:hAnsi="仿宋_GB2312" w:eastAsia="仿宋_GB2312" w:cs="仿宋_GB2312"/>
          <w:color w:val="000000"/>
          <w:spacing w:val="0"/>
          <w:w w:val="100"/>
          <w:position w:val="0"/>
          <w:sz w:val="32"/>
          <w:szCs w:val="32"/>
        </w:rPr>
        <w:t>四）损坏轨道、隧道、车站、车辆、电缆、机电设备、路基、护坡、排水沟等设施；</w:t>
      </w:r>
    </w:p>
    <w:p>
      <w:pPr>
        <w:pStyle w:val="10"/>
        <w:keepNext w:val="0"/>
        <w:keepLines w:val="0"/>
        <w:pageBreakBefore w:val="0"/>
        <w:widowControl w:val="0"/>
        <w:shd w:val="clear" w:color="auto" w:fill="auto"/>
        <w:tabs>
          <w:tab w:val="left" w:pos="1628"/>
        </w:tabs>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sz w:val="32"/>
          <w:szCs w:val="32"/>
        </w:rPr>
      </w:pPr>
      <w:bookmarkStart w:id="14" w:name="bookmark20"/>
      <w:r>
        <w:rPr>
          <w:rFonts w:hint="eastAsia" w:ascii="仿宋_GB2312" w:hAnsi="仿宋_GB2312" w:eastAsia="仿宋_GB2312" w:cs="仿宋_GB2312"/>
          <w:color w:val="000000"/>
          <w:spacing w:val="0"/>
          <w:w w:val="100"/>
          <w:position w:val="0"/>
          <w:sz w:val="32"/>
          <w:szCs w:val="32"/>
        </w:rPr>
        <w:t>（</w:t>
      </w:r>
      <w:bookmarkEnd w:id="14"/>
      <w:r>
        <w:rPr>
          <w:rFonts w:hint="eastAsia" w:ascii="仿宋_GB2312" w:hAnsi="仿宋_GB2312" w:eastAsia="仿宋_GB2312" w:cs="仿宋_GB2312"/>
          <w:color w:val="000000"/>
          <w:spacing w:val="0"/>
          <w:w w:val="100"/>
          <w:position w:val="0"/>
          <w:sz w:val="32"/>
          <w:szCs w:val="32"/>
        </w:rPr>
        <w:t>五）故意干扰城市轨道交通专用通讯频率；</w:t>
      </w:r>
    </w:p>
    <w:p>
      <w:pPr>
        <w:pStyle w:val="10"/>
        <w:keepNext w:val="0"/>
        <w:keepLines w:val="0"/>
        <w:pageBreakBefore w:val="0"/>
        <w:widowControl w:val="0"/>
        <w:shd w:val="clear" w:color="auto" w:fill="auto"/>
        <w:tabs>
          <w:tab w:val="left" w:pos="1628"/>
        </w:tabs>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sz w:val="32"/>
          <w:szCs w:val="32"/>
        </w:rPr>
      </w:pPr>
      <w:bookmarkStart w:id="15" w:name="bookmark21"/>
      <w:r>
        <w:rPr>
          <w:rFonts w:hint="eastAsia" w:ascii="仿宋_GB2312" w:hAnsi="仿宋_GB2312" w:eastAsia="仿宋_GB2312" w:cs="仿宋_GB2312"/>
          <w:color w:val="000000"/>
          <w:spacing w:val="0"/>
          <w:w w:val="100"/>
          <w:position w:val="0"/>
          <w:sz w:val="32"/>
          <w:szCs w:val="32"/>
        </w:rPr>
        <w:t>（</w:t>
      </w:r>
      <w:bookmarkEnd w:id="15"/>
      <w:r>
        <w:rPr>
          <w:rFonts w:hint="eastAsia" w:ascii="仿宋_GB2312" w:hAnsi="仿宋_GB2312" w:eastAsia="仿宋_GB2312" w:cs="仿宋_GB2312"/>
          <w:color w:val="000000"/>
          <w:spacing w:val="0"/>
          <w:w w:val="100"/>
          <w:position w:val="0"/>
          <w:sz w:val="32"/>
          <w:szCs w:val="32"/>
        </w:rPr>
        <w:t>六）非法拦截列车、阻断正常运营；</w:t>
      </w:r>
    </w:p>
    <w:p>
      <w:pPr>
        <w:pStyle w:val="10"/>
        <w:keepNext w:val="0"/>
        <w:keepLines w:val="0"/>
        <w:pageBreakBefore w:val="0"/>
        <w:widowControl w:val="0"/>
        <w:shd w:val="clear" w:color="auto" w:fill="auto"/>
        <w:tabs>
          <w:tab w:val="left" w:pos="1633"/>
        </w:tabs>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sz w:val="32"/>
          <w:szCs w:val="32"/>
        </w:rPr>
      </w:pPr>
      <w:bookmarkStart w:id="16" w:name="bookmark22"/>
      <w:r>
        <w:rPr>
          <w:rFonts w:hint="eastAsia" w:ascii="仿宋_GB2312" w:hAnsi="仿宋_GB2312" w:eastAsia="仿宋_GB2312" w:cs="仿宋_GB2312"/>
          <w:color w:val="000000"/>
          <w:spacing w:val="0"/>
          <w:w w:val="100"/>
          <w:position w:val="0"/>
          <w:sz w:val="32"/>
          <w:szCs w:val="32"/>
        </w:rPr>
        <w:t>（</w:t>
      </w:r>
      <w:bookmarkEnd w:id="16"/>
      <w:r>
        <w:rPr>
          <w:rFonts w:hint="eastAsia" w:ascii="仿宋_GB2312" w:hAnsi="仿宋_GB2312" w:eastAsia="仿宋_GB2312" w:cs="仿宋_GB2312"/>
          <w:color w:val="000000"/>
          <w:spacing w:val="0"/>
          <w:w w:val="100"/>
          <w:position w:val="0"/>
          <w:sz w:val="32"/>
          <w:szCs w:val="32"/>
        </w:rPr>
        <w:t>七）擅自进入驾驶室、轨道、隧道、风亭（井）或者其他有警示标志的区域；</w:t>
      </w:r>
    </w:p>
    <w:p>
      <w:pPr>
        <w:pStyle w:val="10"/>
        <w:keepNext w:val="0"/>
        <w:keepLines w:val="0"/>
        <w:pageBreakBefore w:val="0"/>
        <w:widowControl w:val="0"/>
        <w:shd w:val="clear" w:color="auto" w:fill="auto"/>
        <w:tabs>
          <w:tab w:val="left" w:pos="1604"/>
        </w:tabs>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sz w:val="32"/>
          <w:szCs w:val="32"/>
        </w:rPr>
      </w:pPr>
      <w:bookmarkStart w:id="17" w:name="bookmark23"/>
      <w:r>
        <w:rPr>
          <w:rFonts w:hint="eastAsia" w:ascii="仿宋_GB2312" w:hAnsi="仿宋_GB2312" w:eastAsia="仿宋_GB2312" w:cs="仿宋_GB2312"/>
          <w:color w:val="000000"/>
          <w:spacing w:val="0"/>
          <w:w w:val="100"/>
          <w:position w:val="0"/>
          <w:sz w:val="32"/>
          <w:szCs w:val="32"/>
        </w:rPr>
        <w:t>（</w:t>
      </w:r>
      <w:bookmarkEnd w:id="17"/>
      <w:r>
        <w:rPr>
          <w:rFonts w:hint="eastAsia" w:ascii="仿宋_GB2312" w:hAnsi="仿宋_GB2312" w:eastAsia="仿宋_GB2312" w:cs="仿宋_GB2312"/>
          <w:color w:val="000000"/>
          <w:spacing w:val="0"/>
          <w:w w:val="100"/>
          <w:position w:val="0"/>
          <w:sz w:val="32"/>
          <w:szCs w:val="32"/>
        </w:rPr>
        <w:t>八）攀爬、翻越或者推挤围墙、栏杆、闸机、列车、站台门等；</w:t>
      </w:r>
    </w:p>
    <w:p>
      <w:pPr>
        <w:pStyle w:val="10"/>
        <w:keepNext w:val="0"/>
        <w:keepLines w:val="0"/>
        <w:pageBreakBefore w:val="0"/>
        <w:widowControl w:val="0"/>
        <w:shd w:val="clear" w:color="auto" w:fill="auto"/>
        <w:tabs>
          <w:tab w:val="left" w:pos="1628"/>
        </w:tabs>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sz w:val="32"/>
          <w:szCs w:val="32"/>
        </w:rPr>
      </w:pPr>
      <w:bookmarkStart w:id="18" w:name="bookmark24"/>
      <w:r>
        <w:rPr>
          <w:rFonts w:hint="eastAsia" w:ascii="仿宋_GB2312" w:hAnsi="仿宋_GB2312" w:eastAsia="仿宋_GB2312" w:cs="仿宋_GB2312"/>
          <w:color w:val="000000"/>
          <w:spacing w:val="0"/>
          <w:w w:val="100"/>
          <w:position w:val="0"/>
          <w:sz w:val="32"/>
          <w:szCs w:val="32"/>
        </w:rPr>
        <w:t>（</w:t>
      </w:r>
      <w:bookmarkEnd w:id="18"/>
      <w:r>
        <w:rPr>
          <w:rFonts w:hint="eastAsia" w:ascii="仿宋_GB2312" w:hAnsi="仿宋_GB2312" w:eastAsia="仿宋_GB2312" w:cs="仿宋_GB2312"/>
          <w:color w:val="000000"/>
          <w:spacing w:val="0"/>
          <w:w w:val="100"/>
          <w:position w:val="0"/>
          <w:sz w:val="32"/>
          <w:szCs w:val="32"/>
        </w:rPr>
        <w:t>九）在车站、列车等城市轨道交通设施范围内点燃明火；</w:t>
      </w:r>
    </w:p>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pacing w:val="0"/>
          <w:w w:val="100"/>
          <w:position w:val="0"/>
          <w:sz w:val="32"/>
          <w:szCs w:val="32"/>
        </w:rPr>
        <w:t>（十）阻挡车门、站台门的正常开启或者关闭；</w:t>
      </w:r>
    </w:p>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pacing w:val="0"/>
          <w:w w:val="100"/>
          <w:position w:val="0"/>
          <w:sz w:val="32"/>
          <w:szCs w:val="32"/>
        </w:rPr>
        <w:t>（十一）强行上下车；</w:t>
      </w:r>
    </w:p>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pacing w:val="0"/>
          <w:w w:val="100"/>
          <w:position w:val="0"/>
          <w:sz w:val="32"/>
          <w:szCs w:val="32"/>
        </w:rPr>
        <w:t>（十二）在运行的自</w:t>
      </w:r>
      <w:r>
        <w:rPr>
          <w:rFonts w:hint="eastAsia" w:ascii="仿宋_GB2312" w:hAnsi="仿宋_GB2312" w:eastAsia="仿宋_GB2312" w:cs="仿宋_GB2312"/>
          <w:color w:val="000000"/>
          <w:spacing w:val="0"/>
          <w:w w:val="100"/>
          <w:position w:val="0"/>
          <w:sz w:val="32"/>
          <w:szCs w:val="32"/>
          <w:highlight w:val="none"/>
        </w:rPr>
        <w:t>动扶梯上逆行</w:t>
      </w:r>
      <w:r>
        <w:rPr>
          <w:rFonts w:hint="eastAsia" w:ascii="仿宋_GB2312" w:hAnsi="仿宋_GB2312" w:eastAsia="仿宋_GB2312" w:cs="仿宋_GB2312"/>
          <w:color w:val="000000"/>
          <w:spacing w:val="0"/>
          <w:w w:val="100"/>
          <w:position w:val="0"/>
          <w:sz w:val="32"/>
          <w:szCs w:val="32"/>
          <w:highlight w:val="none"/>
          <w:lang w:eastAsia="zh-CN"/>
        </w:rPr>
        <w:t>、</w:t>
      </w:r>
      <w:r>
        <w:rPr>
          <w:rFonts w:hint="eastAsia" w:ascii="仿宋_GB2312" w:hAnsi="仿宋_GB2312" w:eastAsia="仿宋_GB2312" w:cs="仿宋_GB2312"/>
          <w:strike w:val="0"/>
          <w:dstrike w:val="0"/>
          <w:color w:val="000000"/>
          <w:spacing w:val="0"/>
          <w:w w:val="100"/>
          <w:position w:val="0"/>
          <w:sz w:val="32"/>
          <w:szCs w:val="32"/>
          <w:highlight w:val="none"/>
          <w:lang w:val="en-US" w:eastAsia="zh-CN"/>
        </w:rPr>
        <w:t>推挤、嬉笑打闹</w:t>
      </w:r>
      <w:r>
        <w:rPr>
          <w:rFonts w:hint="eastAsia" w:ascii="仿宋_GB2312" w:hAnsi="仿宋_GB2312" w:eastAsia="仿宋_GB2312" w:cs="仿宋_GB2312"/>
          <w:color w:val="000000"/>
          <w:spacing w:val="0"/>
          <w:w w:val="100"/>
          <w:position w:val="0"/>
          <w:sz w:val="32"/>
          <w:szCs w:val="32"/>
          <w:highlight w:val="none"/>
        </w:rPr>
        <w:t>或</w:t>
      </w:r>
      <w:r>
        <w:rPr>
          <w:rFonts w:hint="eastAsia" w:ascii="仿宋_GB2312" w:hAnsi="仿宋_GB2312" w:eastAsia="仿宋_GB2312" w:cs="仿宋_GB2312"/>
          <w:color w:val="000000"/>
          <w:spacing w:val="0"/>
          <w:w w:val="100"/>
          <w:position w:val="0"/>
          <w:sz w:val="32"/>
          <w:szCs w:val="32"/>
        </w:rPr>
        <w:t>者使用自动扶梯运送笨重物品；</w:t>
      </w:r>
    </w:p>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color w:val="000000"/>
          <w:spacing w:val="0"/>
          <w:w w:val="100"/>
          <w:position w:val="0"/>
          <w:sz w:val="32"/>
          <w:szCs w:val="32"/>
        </w:rPr>
      </w:pPr>
      <w:r>
        <w:rPr>
          <w:rFonts w:hint="eastAsia" w:ascii="仿宋_GB2312" w:hAnsi="仿宋_GB2312" w:eastAsia="仿宋_GB2312" w:cs="仿宋_GB2312"/>
          <w:color w:val="000000"/>
          <w:spacing w:val="0"/>
          <w:w w:val="100"/>
          <w:position w:val="0"/>
          <w:sz w:val="32"/>
          <w:szCs w:val="32"/>
        </w:rPr>
        <w:t>（十三）其他危害城市轨道交通安全的行为。</w:t>
      </w:r>
    </w:p>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60" w:lineRule="exact"/>
        <w:ind w:left="0" w:right="0" w:firstLine="642" w:firstLineChars="200"/>
        <w:jc w:val="both"/>
        <w:textAlignment w:val="auto"/>
        <w:rPr>
          <w:rFonts w:hint="eastAsia" w:ascii="仿宋_GB2312" w:hAnsi="仿宋_GB2312" w:eastAsia="仿宋_GB2312" w:cs="仿宋_GB2312"/>
          <w:color w:val="000000"/>
          <w:spacing w:val="0"/>
          <w:w w:val="100"/>
          <w:position w:val="0"/>
          <w:sz w:val="32"/>
          <w:szCs w:val="32"/>
          <w:highlight w:val="none"/>
        </w:rPr>
      </w:pPr>
      <w:r>
        <w:rPr>
          <w:rFonts w:hint="eastAsia" w:ascii="仿宋_GB2312" w:hAnsi="仿宋_GB2312" w:eastAsia="仿宋_GB2312" w:cs="仿宋_GB2312"/>
          <w:b/>
          <w:bCs/>
          <w:color w:val="000000"/>
          <w:spacing w:val="0"/>
          <w:w w:val="100"/>
          <w:position w:val="0"/>
          <w:sz w:val="32"/>
          <w:szCs w:val="32"/>
        </w:rPr>
        <w:t>第十一条</w:t>
      </w:r>
      <w:r>
        <w:rPr>
          <w:rFonts w:hint="eastAsia" w:ascii="仿宋_GB2312" w:hAnsi="仿宋_GB2312" w:eastAsia="仿宋_GB2312" w:cs="仿宋_GB2312"/>
          <w:b/>
          <w:bCs/>
          <w:color w:val="000000"/>
          <w:spacing w:val="0"/>
          <w:w w:val="100"/>
          <w:position w:val="0"/>
          <w:sz w:val="32"/>
          <w:szCs w:val="32"/>
          <w:lang w:val="en-US" w:eastAsia="zh-CN"/>
        </w:rPr>
        <w:t xml:space="preserve"> </w:t>
      </w:r>
      <w:r>
        <w:rPr>
          <w:rFonts w:hint="eastAsia" w:ascii="仿宋_GB2312" w:hAnsi="仿宋_GB2312" w:eastAsia="仿宋_GB2312" w:cs="仿宋_GB2312"/>
          <w:color w:val="000000"/>
          <w:spacing w:val="0"/>
          <w:w w:val="100"/>
          <w:position w:val="0"/>
          <w:sz w:val="32"/>
          <w:szCs w:val="32"/>
        </w:rPr>
        <w:t>禁止下列影响城市轨道交通公共场所</w:t>
      </w:r>
      <w:r>
        <w:rPr>
          <w:rFonts w:hint="eastAsia" w:ascii="仿宋_GB2312" w:hAnsi="仿宋_GB2312" w:eastAsia="仿宋_GB2312" w:cs="仿宋_GB2312"/>
          <w:color w:val="000000"/>
          <w:spacing w:val="0"/>
          <w:w w:val="100"/>
          <w:position w:val="0"/>
          <w:sz w:val="32"/>
          <w:szCs w:val="32"/>
          <w:highlight w:val="none"/>
        </w:rPr>
        <w:t>容貌、环境卫生</w:t>
      </w:r>
      <w:r>
        <w:rPr>
          <w:rFonts w:hint="eastAsia" w:ascii="仿宋_GB2312" w:hAnsi="仿宋_GB2312" w:eastAsia="仿宋_GB2312" w:cs="仿宋_GB2312"/>
          <w:color w:val="000000"/>
          <w:spacing w:val="0"/>
          <w:w w:val="100"/>
          <w:position w:val="0"/>
          <w:sz w:val="32"/>
          <w:szCs w:val="32"/>
          <w:highlight w:val="none"/>
          <w:lang w:eastAsia="zh-CN"/>
        </w:rPr>
        <w:t>、</w:t>
      </w:r>
      <w:r>
        <w:rPr>
          <w:rFonts w:hint="eastAsia" w:ascii="仿宋_GB2312" w:hAnsi="仿宋_GB2312" w:eastAsia="仿宋_GB2312" w:cs="仿宋_GB2312"/>
          <w:strike w:val="0"/>
          <w:dstrike w:val="0"/>
          <w:color w:val="000000"/>
          <w:spacing w:val="0"/>
          <w:w w:val="100"/>
          <w:position w:val="0"/>
          <w:sz w:val="32"/>
          <w:szCs w:val="32"/>
          <w:highlight w:val="none"/>
        </w:rPr>
        <w:t>运营秩序</w:t>
      </w:r>
      <w:r>
        <w:rPr>
          <w:rFonts w:hint="eastAsia" w:ascii="仿宋_GB2312" w:hAnsi="仿宋_GB2312" w:eastAsia="仿宋_GB2312" w:cs="仿宋_GB2312"/>
          <w:color w:val="000000"/>
          <w:spacing w:val="0"/>
          <w:w w:val="100"/>
          <w:position w:val="0"/>
          <w:sz w:val="32"/>
          <w:szCs w:val="32"/>
          <w:highlight w:val="none"/>
        </w:rPr>
        <w:t>的行为：</w:t>
      </w:r>
    </w:p>
    <w:p>
      <w:pPr>
        <w:pStyle w:val="10"/>
        <w:keepNext w:val="0"/>
        <w:keepLines/>
        <w:pageBreakBefore w:val="0"/>
        <w:widowControl w:val="0"/>
        <w:shd w:val="clear" w:color="auto" w:fill="auto"/>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color w:val="000000"/>
          <w:spacing w:val="0"/>
          <w:w w:val="100"/>
          <w:position w:val="0"/>
          <w:sz w:val="32"/>
          <w:szCs w:val="32"/>
        </w:rPr>
      </w:pPr>
      <w:r>
        <w:rPr>
          <w:rFonts w:hint="eastAsia" w:ascii="仿宋_GB2312" w:hAnsi="仿宋_GB2312" w:eastAsia="仿宋_GB2312" w:cs="仿宋_GB2312"/>
          <w:color w:val="000000"/>
          <w:spacing w:val="0"/>
          <w:w w:val="100"/>
          <w:position w:val="0"/>
          <w:sz w:val="32"/>
          <w:szCs w:val="32"/>
          <w:lang w:val="zh-CN" w:eastAsia="zh-CN" w:bidi="zh-CN"/>
        </w:rPr>
        <w:t>（</w:t>
      </w:r>
      <w:r>
        <w:rPr>
          <w:rFonts w:hint="eastAsia" w:ascii="仿宋_GB2312" w:hAnsi="仿宋_GB2312" w:eastAsia="仿宋_GB2312" w:cs="仿宋_GB2312"/>
          <w:color w:val="000000"/>
          <w:spacing w:val="0"/>
          <w:w w:val="100"/>
          <w:position w:val="0"/>
          <w:sz w:val="32"/>
          <w:szCs w:val="32"/>
          <w:lang w:val="en-US" w:eastAsia="zh-CN" w:bidi="zh-CN"/>
        </w:rPr>
        <w:t>一</w:t>
      </w:r>
      <w:r>
        <w:rPr>
          <w:rFonts w:hint="eastAsia" w:ascii="仿宋_GB2312" w:hAnsi="仿宋_GB2312" w:eastAsia="仿宋_GB2312" w:cs="仿宋_GB2312"/>
          <w:color w:val="000000"/>
          <w:spacing w:val="0"/>
          <w:w w:val="100"/>
          <w:position w:val="0"/>
          <w:sz w:val="32"/>
          <w:szCs w:val="32"/>
          <w:lang w:val="zh-CN" w:eastAsia="zh-CN" w:bidi="zh-CN"/>
        </w:rPr>
        <w:t>）</w:t>
      </w:r>
      <w:r>
        <w:rPr>
          <w:rFonts w:hint="eastAsia" w:ascii="仿宋_GB2312" w:hAnsi="仿宋_GB2312" w:eastAsia="仿宋_GB2312" w:cs="仿宋_GB2312"/>
          <w:color w:val="000000"/>
          <w:spacing w:val="0"/>
          <w:w w:val="100"/>
          <w:position w:val="0"/>
          <w:sz w:val="32"/>
          <w:szCs w:val="32"/>
        </w:rPr>
        <w:t>在车站及出入口、通道内或者其他城市轨道交通设施内无照设点、</w:t>
      </w:r>
      <w:r>
        <w:rPr>
          <w:rFonts w:hint="eastAsia" w:ascii="仿宋_GB2312" w:hAnsi="仿宋_GB2312" w:eastAsia="仿宋_GB2312" w:cs="仿宋_GB2312"/>
          <w:color w:val="000000"/>
          <w:spacing w:val="0"/>
          <w:w w:val="100"/>
          <w:position w:val="0"/>
          <w:sz w:val="32"/>
          <w:szCs w:val="32"/>
          <w:highlight w:val="none"/>
        </w:rPr>
        <w:t>乱摆卖、</w:t>
      </w:r>
      <w:r>
        <w:rPr>
          <w:rFonts w:hint="eastAsia" w:ascii="仿宋_GB2312" w:hAnsi="仿宋_GB2312" w:eastAsia="仿宋_GB2312" w:cs="仿宋_GB2312"/>
          <w:color w:val="000000"/>
          <w:spacing w:val="0"/>
          <w:w w:val="100"/>
          <w:position w:val="0"/>
          <w:sz w:val="32"/>
          <w:szCs w:val="32"/>
          <w:highlight w:val="none"/>
          <w:lang w:val="en-US" w:eastAsia="zh-CN"/>
        </w:rPr>
        <w:t>堆放杂物、</w:t>
      </w:r>
      <w:r>
        <w:rPr>
          <w:rFonts w:hint="eastAsia" w:ascii="仿宋_GB2312" w:hAnsi="仿宋_GB2312" w:eastAsia="仿宋_GB2312" w:cs="仿宋_GB2312"/>
          <w:color w:val="000000"/>
          <w:spacing w:val="0"/>
          <w:w w:val="100"/>
          <w:position w:val="0"/>
          <w:sz w:val="32"/>
          <w:szCs w:val="32"/>
          <w:highlight w:val="none"/>
        </w:rPr>
        <w:t>停放车</w:t>
      </w:r>
      <w:r>
        <w:rPr>
          <w:rFonts w:hint="eastAsia" w:ascii="仿宋_GB2312" w:hAnsi="仿宋_GB2312" w:eastAsia="仿宋_GB2312" w:cs="仿宋_GB2312"/>
          <w:color w:val="000000"/>
          <w:spacing w:val="0"/>
          <w:w w:val="100"/>
          <w:position w:val="0"/>
          <w:sz w:val="32"/>
          <w:szCs w:val="32"/>
        </w:rPr>
        <w:t>辆；</w:t>
      </w:r>
    </w:p>
    <w:p>
      <w:pPr>
        <w:pStyle w:val="10"/>
        <w:keepNext w:val="0"/>
        <w:keepLines/>
        <w:pageBreakBefore w:val="0"/>
        <w:widowControl w:val="0"/>
        <w:shd w:val="clear" w:color="auto" w:fill="auto"/>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color w:val="000000"/>
          <w:spacing w:val="0"/>
          <w:w w:val="100"/>
          <w:position w:val="0"/>
          <w:sz w:val="32"/>
          <w:szCs w:val="32"/>
          <w:lang w:eastAsia="zh-CN"/>
        </w:rPr>
      </w:pPr>
      <w:r>
        <w:rPr>
          <w:rFonts w:hint="eastAsia" w:ascii="仿宋_GB2312" w:hAnsi="仿宋_GB2312" w:eastAsia="仿宋_GB2312" w:cs="仿宋_GB2312"/>
          <w:color w:val="000000"/>
          <w:spacing w:val="0"/>
          <w:w w:val="100"/>
          <w:position w:val="0"/>
          <w:sz w:val="32"/>
          <w:szCs w:val="32"/>
          <w:lang w:eastAsia="zh-CN"/>
        </w:rPr>
        <w:t>（二）</w:t>
      </w:r>
      <w:r>
        <w:rPr>
          <w:rFonts w:hint="eastAsia" w:ascii="仿宋_GB2312" w:hAnsi="仿宋_GB2312" w:eastAsia="仿宋_GB2312" w:cs="仿宋_GB2312"/>
          <w:color w:val="000000"/>
          <w:spacing w:val="0"/>
          <w:w w:val="100"/>
          <w:position w:val="0"/>
          <w:sz w:val="32"/>
          <w:szCs w:val="32"/>
        </w:rPr>
        <w:t>在车站、列车或者其他城市轨道交通设施内随地吐痰</w:t>
      </w:r>
      <w:bookmarkStart w:id="26" w:name="_GoBack"/>
      <w:bookmarkEnd w:id="26"/>
      <w:r>
        <w:rPr>
          <w:rFonts w:hint="eastAsia" w:ascii="仿宋_GB2312" w:hAnsi="仿宋_GB2312" w:eastAsia="仿宋_GB2312" w:cs="仿宋_GB2312"/>
          <w:color w:val="000000"/>
          <w:spacing w:val="0"/>
          <w:w w:val="100"/>
          <w:position w:val="0"/>
          <w:sz w:val="32"/>
          <w:szCs w:val="32"/>
        </w:rPr>
        <w:t>、便溺、吐口香糖，乱扔果皮、纸屑等废弃物；</w:t>
      </w:r>
    </w:p>
    <w:p>
      <w:pPr>
        <w:pStyle w:val="10"/>
        <w:keepNext w:val="0"/>
        <w:keepLines w:val="0"/>
        <w:pageBreakBefore w:val="0"/>
        <w:widowControl w:val="0"/>
        <w:shd w:val="clear" w:color="auto" w:fill="auto"/>
        <w:tabs>
          <w:tab w:val="left" w:pos="1618"/>
        </w:tabs>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sz w:val="32"/>
          <w:szCs w:val="32"/>
          <w:highlight w:val="none"/>
        </w:rPr>
      </w:pPr>
      <w:bookmarkStart w:id="19" w:name="bookmark26"/>
      <w:r>
        <w:rPr>
          <w:rFonts w:hint="eastAsia" w:ascii="仿宋_GB2312" w:hAnsi="仿宋_GB2312" w:eastAsia="仿宋_GB2312" w:cs="仿宋_GB2312"/>
          <w:color w:val="000000"/>
          <w:spacing w:val="0"/>
          <w:w w:val="100"/>
          <w:position w:val="0"/>
          <w:sz w:val="32"/>
          <w:szCs w:val="32"/>
        </w:rPr>
        <w:t>（</w:t>
      </w:r>
      <w:bookmarkEnd w:id="19"/>
      <w:r>
        <w:rPr>
          <w:rFonts w:hint="eastAsia" w:ascii="仿宋_GB2312" w:hAnsi="仿宋_GB2312" w:eastAsia="仿宋_GB2312" w:cs="仿宋_GB2312"/>
          <w:color w:val="000000"/>
          <w:spacing w:val="0"/>
          <w:w w:val="100"/>
          <w:position w:val="0"/>
          <w:sz w:val="32"/>
          <w:szCs w:val="32"/>
        </w:rPr>
        <w:t>三）在车站、列车或者其他城市轨道</w:t>
      </w:r>
      <w:r>
        <w:rPr>
          <w:rFonts w:hint="eastAsia" w:ascii="仿宋_GB2312" w:hAnsi="仿宋_GB2312" w:eastAsia="仿宋_GB2312" w:cs="仿宋_GB2312"/>
          <w:color w:val="000000"/>
          <w:spacing w:val="0"/>
          <w:w w:val="100"/>
          <w:position w:val="0"/>
          <w:sz w:val="32"/>
          <w:szCs w:val="32"/>
          <w:highlight w:val="none"/>
        </w:rPr>
        <w:t>交通设施内</w:t>
      </w:r>
      <w:r>
        <w:rPr>
          <w:rFonts w:hint="eastAsia" w:ascii="仿宋_GB2312" w:hAnsi="仿宋_GB2312" w:eastAsia="仿宋_GB2312" w:cs="仿宋_GB2312"/>
          <w:color w:val="000000"/>
          <w:spacing w:val="0"/>
          <w:w w:val="100"/>
          <w:position w:val="0"/>
          <w:sz w:val="32"/>
          <w:szCs w:val="32"/>
          <w:highlight w:val="none"/>
          <w:lang w:val="en-US" w:eastAsia="zh-CN"/>
        </w:rPr>
        <w:t>乱涂、</w:t>
      </w:r>
      <w:r>
        <w:rPr>
          <w:rFonts w:hint="eastAsia" w:ascii="仿宋_GB2312" w:hAnsi="仿宋_GB2312" w:eastAsia="仿宋_GB2312" w:cs="仿宋_GB2312"/>
          <w:color w:val="000000"/>
          <w:spacing w:val="0"/>
          <w:w w:val="100"/>
          <w:position w:val="0"/>
          <w:sz w:val="32"/>
          <w:szCs w:val="32"/>
          <w:highlight w:val="none"/>
        </w:rPr>
        <w:t>乱刻、乱写、乱画或者未经许可悬挂、张贴、派发宣传品；</w:t>
      </w:r>
    </w:p>
    <w:p>
      <w:pPr>
        <w:pStyle w:val="10"/>
        <w:keepNext w:val="0"/>
        <w:keepLines w:val="0"/>
        <w:pageBreakBefore w:val="0"/>
        <w:widowControl w:val="0"/>
        <w:shd w:val="clear" w:color="auto" w:fill="auto"/>
        <w:tabs>
          <w:tab w:val="left" w:pos="1633"/>
        </w:tabs>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sz w:val="32"/>
          <w:szCs w:val="32"/>
          <w:highlight w:val="none"/>
        </w:rPr>
      </w:pPr>
      <w:bookmarkStart w:id="20" w:name="bookmark27"/>
      <w:r>
        <w:rPr>
          <w:rFonts w:hint="eastAsia" w:ascii="仿宋_GB2312" w:hAnsi="仿宋_GB2312" w:eastAsia="仿宋_GB2312" w:cs="仿宋_GB2312"/>
          <w:color w:val="000000"/>
          <w:spacing w:val="0"/>
          <w:w w:val="100"/>
          <w:position w:val="0"/>
          <w:sz w:val="32"/>
          <w:szCs w:val="32"/>
          <w:highlight w:val="none"/>
        </w:rPr>
        <w:t>（</w:t>
      </w:r>
      <w:bookmarkEnd w:id="20"/>
      <w:r>
        <w:rPr>
          <w:rFonts w:hint="eastAsia" w:ascii="仿宋_GB2312" w:hAnsi="仿宋_GB2312" w:eastAsia="仿宋_GB2312" w:cs="仿宋_GB2312"/>
          <w:color w:val="000000"/>
          <w:spacing w:val="0"/>
          <w:w w:val="100"/>
          <w:position w:val="0"/>
          <w:sz w:val="32"/>
          <w:szCs w:val="32"/>
          <w:highlight w:val="none"/>
        </w:rPr>
        <w:t>四）携带充气气球或者宠物(导盲犬、军警犬除外)、家禽等动物乘车；</w:t>
      </w:r>
    </w:p>
    <w:p>
      <w:pPr>
        <w:pStyle w:val="10"/>
        <w:keepNext w:val="0"/>
        <w:keepLines w:val="0"/>
        <w:pageBreakBefore w:val="0"/>
        <w:widowControl w:val="0"/>
        <w:shd w:val="clear" w:color="auto" w:fill="auto"/>
        <w:tabs>
          <w:tab w:val="left" w:pos="1626"/>
        </w:tabs>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sz w:val="32"/>
          <w:szCs w:val="32"/>
          <w:highlight w:val="none"/>
        </w:rPr>
      </w:pPr>
      <w:bookmarkStart w:id="21" w:name="bookmark28"/>
      <w:r>
        <w:rPr>
          <w:rFonts w:hint="eastAsia" w:ascii="仿宋_GB2312" w:hAnsi="仿宋_GB2312" w:eastAsia="仿宋_GB2312" w:cs="仿宋_GB2312"/>
          <w:color w:val="000000"/>
          <w:spacing w:val="0"/>
          <w:w w:val="100"/>
          <w:position w:val="0"/>
          <w:sz w:val="32"/>
          <w:szCs w:val="32"/>
          <w:highlight w:val="none"/>
        </w:rPr>
        <w:t>（</w:t>
      </w:r>
      <w:bookmarkEnd w:id="21"/>
      <w:r>
        <w:rPr>
          <w:rFonts w:hint="eastAsia" w:ascii="仿宋_GB2312" w:hAnsi="仿宋_GB2312" w:eastAsia="仿宋_GB2312" w:cs="仿宋_GB2312"/>
          <w:color w:val="000000"/>
          <w:spacing w:val="0"/>
          <w:w w:val="100"/>
          <w:position w:val="0"/>
          <w:sz w:val="32"/>
          <w:szCs w:val="32"/>
          <w:highlight w:val="none"/>
        </w:rPr>
        <w:t>五）在车站或者列车内躺卧、踩踏座席、追逐打闹、大声喧哗、使用滑板（轮滑）、独轮车、溜冰鞋</w:t>
      </w:r>
      <w:r>
        <w:rPr>
          <w:rFonts w:hint="eastAsia" w:ascii="仿宋_GB2312" w:hAnsi="仿宋_GB2312" w:eastAsia="仿宋_GB2312" w:cs="仿宋_GB2312"/>
          <w:color w:val="000000"/>
          <w:spacing w:val="0"/>
          <w:w w:val="100"/>
          <w:position w:val="0"/>
          <w:sz w:val="32"/>
          <w:szCs w:val="32"/>
          <w:highlight w:val="none"/>
          <w:lang w:val="en-US" w:eastAsia="zh-CN"/>
        </w:rPr>
        <w:t>，在座位上堆放物品或一人占用多个座位</w:t>
      </w:r>
      <w:r>
        <w:rPr>
          <w:rFonts w:hint="eastAsia" w:ascii="仿宋_GB2312" w:hAnsi="仿宋_GB2312" w:eastAsia="仿宋_GB2312" w:cs="仿宋_GB2312"/>
          <w:color w:val="000000"/>
          <w:spacing w:val="0"/>
          <w:w w:val="100"/>
          <w:position w:val="0"/>
          <w:sz w:val="32"/>
          <w:szCs w:val="32"/>
          <w:highlight w:val="none"/>
        </w:rPr>
        <w:t>等；</w:t>
      </w:r>
    </w:p>
    <w:p>
      <w:pPr>
        <w:pStyle w:val="10"/>
        <w:keepNext w:val="0"/>
        <w:keepLines w:val="0"/>
        <w:pageBreakBefore w:val="0"/>
        <w:widowControl w:val="0"/>
        <w:shd w:val="clear" w:color="auto" w:fill="auto"/>
        <w:tabs>
          <w:tab w:val="left" w:pos="1641"/>
          <w:tab w:val="left" w:pos="8230"/>
        </w:tabs>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sz w:val="32"/>
          <w:szCs w:val="32"/>
          <w:highlight w:val="none"/>
        </w:rPr>
      </w:pPr>
      <w:bookmarkStart w:id="22" w:name="bookmark29"/>
      <w:r>
        <w:rPr>
          <w:rFonts w:hint="eastAsia" w:ascii="仿宋_GB2312" w:hAnsi="仿宋_GB2312" w:eastAsia="仿宋_GB2312" w:cs="仿宋_GB2312"/>
          <w:color w:val="000000"/>
          <w:spacing w:val="0"/>
          <w:w w:val="100"/>
          <w:position w:val="0"/>
          <w:sz w:val="32"/>
          <w:szCs w:val="32"/>
          <w:highlight w:val="none"/>
        </w:rPr>
        <w:t>（</w:t>
      </w:r>
      <w:bookmarkEnd w:id="22"/>
      <w:r>
        <w:rPr>
          <w:rFonts w:hint="eastAsia" w:ascii="仿宋_GB2312" w:hAnsi="仿宋_GB2312" w:eastAsia="仿宋_GB2312" w:cs="仿宋_GB2312"/>
          <w:color w:val="000000"/>
          <w:spacing w:val="0"/>
          <w:w w:val="100"/>
          <w:position w:val="0"/>
          <w:sz w:val="32"/>
          <w:szCs w:val="32"/>
          <w:highlight w:val="none"/>
        </w:rPr>
        <w:t>六）在车站和列车内进食(婴儿、病人除外)；</w:t>
      </w:r>
      <w:r>
        <w:rPr>
          <w:rFonts w:hint="eastAsia" w:ascii="仿宋_GB2312" w:hAnsi="仿宋_GB2312" w:eastAsia="仿宋_GB2312" w:cs="仿宋_GB2312"/>
          <w:color w:val="000000"/>
          <w:spacing w:val="0"/>
          <w:w w:val="100"/>
          <w:position w:val="0"/>
          <w:sz w:val="32"/>
          <w:szCs w:val="32"/>
          <w:highlight w:val="none"/>
        </w:rPr>
        <w:tab/>
      </w:r>
    </w:p>
    <w:p>
      <w:pPr>
        <w:pStyle w:val="10"/>
        <w:keepNext w:val="0"/>
        <w:keepLines w:val="0"/>
        <w:pageBreakBefore w:val="0"/>
        <w:widowControl w:val="0"/>
        <w:shd w:val="clear" w:color="auto" w:fill="auto"/>
        <w:tabs>
          <w:tab w:val="left" w:pos="1633"/>
        </w:tabs>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sz w:val="32"/>
          <w:szCs w:val="32"/>
          <w:highlight w:val="none"/>
        </w:rPr>
      </w:pPr>
      <w:bookmarkStart w:id="23" w:name="bookmark30"/>
      <w:r>
        <w:rPr>
          <w:rFonts w:hint="eastAsia" w:ascii="仿宋_GB2312" w:hAnsi="仿宋_GB2312" w:eastAsia="仿宋_GB2312" w:cs="仿宋_GB2312"/>
          <w:color w:val="000000"/>
          <w:spacing w:val="0"/>
          <w:w w:val="100"/>
          <w:position w:val="0"/>
          <w:sz w:val="32"/>
          <w:szCs w:val="32"/>
          <w:highlight w:val="none"/>
        </w:rPr>
        <w:t>（</w:t>
      </w:r>
      <w:bookmarkEnd w:id="23"/>
      <w:r>
        <w:rPr>
          <w:rFonts w:hint="eastAsia" w:ascii="仿宋_GB2312" w:hAnsi="仿宋_GB2312" w:eastAsia="仿宋_GB2312" w:cs="仿宋_GB2312"/>
          <w:color w:val="000000"/>
          <w:spacing w:val="0"/>
          <w:w w:val="100"/>
          <w:position w:val="0"/>
          <w:sz w:val="32"/>
          <w:szCs w:val="32"/>
          <w:highlight w:val="none"/>
        </w:rPr>
        <w:t>七）在禁止吸烟区域内吸烟</w:t>
      </w:r>
      <w:r>
        <w:rPr>
          <w:rFonts w:hint="eastAsia" w:ascii="仿宋_GB2312" w:hAnsi="仿宋_GB2312" w:eastAsia="仿宋_GB2312" w:cs="仿宋_GB2312"/>
          <w:color w:val="000000"/>
          <w:spacing w:val="0"/>
          <w:w w:val="100"/>
          <w:position w:val="0"/>
          <w:sz w:val="32"/>
          <w:szCs w:val="32"/>
          <w:highlight w:val="none"/>
          <w:lang w:val="en-US" w:eastAsia="zh-CN"/>
        </w:rPr>
        <w:t>（含电子烟）</w:t>
      </w:r>
      <w:r>
        <w:rPr>
          <w:rFonts w:hint="eastAsia" w:ascii="仿宋_GB2312" w:hAnsi="仿宋_GB2312" w:eastAsia="仿宋_GB2312" w:cs="仿宋_GB2312"/>
          <w:color w:val="000000"/>
          <w:spacing w:val="0"/>
          <w:w w:val="100"/>
          <w:position w:val="0"/>
          <w:sz w:val="32"/>
          <w:szCs w:val="32"/>
          <w:highlight w:val="none"/>
        </w:rPr>
        <w:t>，或者携带点燃的卷烟、雪茄、烟斗；</w:t>
      </w:r>
    </w:p>
    <w:p>
      <w:pPr>
        <w:pStyle w:val="10"/>
        <w:keepNext w:val="0"/>
        <w:keepLines w:val="0"/>
        <w:pageBreakBefore w:val="0"/>
        <w:widowControl w:val="0"/>
        <w:shd w:val="clear" w:color="auto" w:fill="auto"/>
        <w:tabs>
          <w:tab w:val="left" w:pos="1626"/>
        </w:tabs>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sz w:val="32"/>
          <w:szCs w:val="32"/>
          <w:highlight w:val="none"/>
        </w:rPr>
      </w:pPr>
      <w:bookmarkStart w:id="24" w:name="bookmark31"/>
      <w:r>
        <w:rPr>
          <w:rFonts w:hint="eastAsia" w:ascii="仿宋_GB2312" w:hAnsi="仿宋_GB2312" w:eastAsia="仿宋_GB2312" w:cs="仿宋_GB2312"/>
          <w:color w:val="000000"/>
          <w:spacing w:val="0"/>
          <w:w w:val="100"/>
          <w:position w:val="0"/>
          <w:sz w:val="32"/>
          <w:szCs w:val="32"/>
          <w:highlight w:val="none"/>
        </w:rPr>
        <w:t>（</w:t>
      </w:r>
      <w:bookmarkEnd w:id="24"/>
      <w:r>
        <w:rPr>
          <w:rFonts w:hint="eastAsia" w:ascii="仿宋_GB2312" w:hAnsi="仿宋_GB2312" w:eastAsia="仿宋_GB2312" w:cs="仿宋_GB2312"/>
          <w:color w:val="000000"/>
          <w:spacing w:val="0"/>
          <w:w w:val="100"/>
          <w:position w:val="0"/>
          <w:sz w:val="32"/>
          <w:szCs w:val="32"/>
          <w:highlight w:val="none"/>
        </w:rPr>
        <w:t>八）在车站、列车或者其他城市轨道交通设施内</w:t>
      </w:r>
      <w:r>
        <w:rPr>
          <w:rFonts w:hint="eastAsia" w:ascii="仿宋_GB2312" w:hAnsi="仿宋_GB2312" w:eastAsia="仿宋_GB2312" w:cs="仿宋_GB2312"/>
          <w:color w:val="000000"/>
          <w:spacing w:val="0"/>
          <w:w w:val="100"/>
          <w:position w:val="0"/>
          <w:sz w:val="32"/>
          <w:szCs w:val="32"/>
          <w:highlight w:val="none"/>
          <w:lang w:val="en-US" w:eastAsia="zh-CN"/>
        </w:rPr>
        <w:t>兜售、</w:t>
      </w:r>
      <w:r>
        <w:rPr>
          <w:rFonts w:hint="eastAsia" w:ascii="仿宋_GB2312" w:hAnsi="仿宋_GB2312" w:eastAsia="仿宋_GB2312" w:cs="仿宋_GB2312"/>
          <w:color w:val="000000"/>
          <w:spacing w:val="0"/>
          <w:w w:val="100"/>
          <w:position w:val="0"/>
          <w:sz w:val="32"/>
          <w:szCs w:val="32"/>
          <w:highlight w:val="none"/>
        </w:rPr>
        <w:t>推销产品或从事营销活动，乞讨、卖艺、歌舞表演、捡拾垃圾，使用电子设备时外放声音造成环境噪声污染；</w:t>
      </w:r>
    </w:p>
    <w:p>
      <w:pPr>
        <w:pStyle w:val="10"/>
        <w:keepNext w:val="0"/>
        <w:keepLines w:val="0"/>
        <w:pageBreakBefore w:val="0"/>
        <w:widowControl w:val="0"/>
        <w:shd w:val="clear" w:color="auto" w:fill="auto"/>
        <w:tabs>
          <w:tab w:val="left" w:pos="1618"/>
        </w:tabs>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sz w:val="32"/>
          <w:szCs w:val="32"/>
          <w:highlight w:val="none"/>
        </w:rPr>
      </w:pPr>
      <w:bookmarkStart w:id="25" w:name="bookmark32"/>
      <w:r>
        <w:rPr>
          <w:rFonts w:hint="eastAsia" w:ascii="仿宋_GB2312" w:hAnsi="仿宋_GB2312" w:eastAsia="仿宋_GB2312" w:cs="仿宋_GB2312"/>
          <w:color w:val="000000"/>
          <w:spacing w:val="0"/>
          <w:w w:val="100"/>
          <w:position w:val="0"/>
          <w:sz w:val="32"/>
          <w:szCs w:val="32"/>
          <w:highlight w:val="none"/>
        </w:rPr>
        <w:t>（</w:t>
      </w:r>
      <w:bookmarkEnd w:id="25"/>
      <w:r>
        <w:rPr>
          <w:rFonts w:hint="eastAsia" w:ascii="仿宋_GB2312" w:hAnsi="仿宋_GB2312" w:eastAsia="仿宋_GB2312" w:cs="仿宋_GB2312"/>
          <w:color w:val="000000"/>
          <w:spacing w:val="0"/>
          <w:w w:val="100"/>
          <w:position w:val="0"/>
          <w:sz w:val="32"/>
          <w:szCs w:val="32"/>
          <w:highlight w:val="none"/>
        </w:rPr>
        <w:t>九）携带严重异味水果（食品）及其他妨碍公共卫生，影响车站、列车环境卫生的物品；</w:t>
      </w:r>
    </w:p>
    <w:p>
      <w:pPr>
        <w:pStyle w:val="10"/>
        <w:keepNext w:val="0"/>
        <w:keepLines w:val="0"/>
        <w:pageBreakBefore w:val="0"/>
        <w:widowControl w:val="0"/>
        <w:shd w:val="clear" w:color="auto" w:fill="auto"/>
        <w:tabs>
          <w:tab w:val="left" w:pos="1618"/>
        </w:tabs>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color w:val="000000"/>
          <w:spacing w:val="0"/>
          <w:w w:val="100"/>
          <w:position w:val="0"/>
          <w:sz w:val="32"/>
          <w:szCs w:val="32"/>
          <w:highlight w:val="none"/>
        </w:rPr>
      </w:pPr>
      <w:r>
        <w:rPr>
          <w:rFonts w:hint="eastAsia" w:ascii="仿宋_GB2312" w:hAnsi="仿宋_GB2312" w:eastAsia="仿宋_GB2312" w:cs="仿宋_GB2312"/>
          <w:color w:val="000000"/>
          <w:spacing w:val="0"/>
          <w:w w:val="100"/>
          <w:position w:val="0"/>
          <w:sz w:val="32"/>
          <w:szCs w:val="32"/>
          <w:highlight w:val="none"/>
        </w:rPr>
        <w:t>（十）穿戴涉邪、涉恐、涉黄、涉非法宗教宣传、违背公序良俗的服饰、徽章、器物、标识、标志及标语等；</w:t>
      </w:r>
    </w:p>
    <w:p>
      <w:pPr>
        <w:pStyle w:val="10"/>
        <w:keepNext w:val="0"/>
        <w:keepLines w:val="0"/>
        <w:pageBreakBefore w:val="0"/>
        <w:widowControl w:val="0"/>
        <w:shd w:val="clear" w:color="auto" w:fill="auto"/>
        <w:tabs>
          <w:tab w:val="left" w:pos="1618"/>
        </w:tabs>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color w:val="000000"/>
          <w:spacing w:val="0"/>
          <w:w w:val="100"/>
          <w:position w:val="0"/>
          <w:sz w:val="32"/>
          <w:szCs w:val="32"/>
          <w:highlight w:val="none"/>
        </w:rPr>
      </w:pPr>
      <w:r>
        <w:rPr>
          <w:rFonts w:hint="eastAsia" w:ascii="仿宋_GB2312" w:hAnsi="仿宋_GB2312" w:eastAsia="仿宋_GB2312" w:cs="仿宋_GB2312"/>
          <w:color w:val="000000"/>
          <w:spacing w:val="0"/>
          <w:w w:val="100"/>
          <w:position w:val="0"/>
          <w:sz w:val="32"/>
          <w:szCs w:val="32"/>
          <w:highlight w:val="none"/>
        </w:rPr>
        <w:t>（十</w:t>
      </w:r>
      <w:r>
        <w:rPr>
          <w:rFonts w:hint="eastAsia" w:ascii="仿宋_GB2312" w:hAnsi="仿宋_GB2312" w:eastAsia="仿宋_GB2312" w:cs="仿宋_GB2312"/>
          <w:color w:val="000000"/>
          <w:spacing w:val="0"/>
          <w:w w:val="100"/>
          <w:position w:val="0"/>
          <w:sz w:val="32"/>
          <w:szCs w:val="32"/>
          <w:highlight w:val="none"/>
          <w:lang w:val="en-US" w:eastAsia="zh-CN"/>
        </w:rPr>
        <w:t>一</w:t>
      </w:r>
      <w:r>
        <w:rPr>
          <w:rFonts w:hint="eastAsia" w:ascii="仿宋_GB2312" w:hAnsi="仿宋_GB2312" w:eastAsia="仿宋_GB2312" w:cs="仿宋_GB2312"/>
          <w:color w:val="000000"/>
          <w:spacing w:val="0"/>
          <w:w w:val="100"/>
          <w:position w:val="0"/>
          <w:sz w:val="32"/>
          <w:szCs w:val="32"/>
          <w:highlight w:val="none"/>
        </w:rPr>
        <w:t>）未经批准进行举牌、拉横幅、“快闪”等容易引起人员聚集围观的活动；</w:t>
      </w:r>
    </w:p>
    <w:p>
      <w:pPr>
        <w:pStyle w:val="10"/>
        <w:keepNext w:val="0"/>
        <w:keepLines w:val="0"/>
        <w:pageBreakBefore w:val="0"/>
        <w:widowControl w:val="0"/>
        <w:shd w:val="clear" w:color="auto" w:fill="auto"/>
        <w:tabs>
          <w:tab w:val="left" w:pos="1618"/>
        </w:tabs>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color w:val="000000"/>
          <w:spacing w:val="0"/>
          <w:w w:val="100"/>
          <w:position w:val="0"/>
          <w:sz w:val="32"/>
          <w:szCs w:val="32"/>
          <w:highlight w:val="none"/>
        </w:rPr>
      </w:pPr>
      <w:r>
        <w:rPr>
          <w:rFonts w:hint="eastAsia" w:ascii="仿宋_GB2312" w:hAnsi="仿宋_GB2312" w:eastAsia="仿宋_GB2312" w:cs="仿宋_GB2312"/>
          <w:color w:val="000000"/>
          <w:spacing w:val="0"/>
          <w:w w:val="100"/>
          <w:position w:val="0"/>
          <w:sz w:val="32"/>
          <w:szCs w:val="32"/>
          <w:highlight w:val="none"/>
        </w:rPr>
        <w:t>（十</w:t>
      </w:r>
      <w:r>
        <w:rPr>
          <w:rFonts w:hint="eastAsia" w:ascii="仿宋_GB2312" w:hAnsi="仿宋_GB2312" w:eastAsia="仿宋_GB2312" w:cs="仿宋_GB2312"/>
          <w:color w:val="000000"/>
          <w:spacing w:val="0"/>
          <w:w w:val="100"/>
          <w:position w:val="0"/>
          <w:sz w:val="32"/>
          <w:szCs w:val="32"/>
          <w:highlight w:val="none"/>
          <w:lang w:val="en-US" w:eastAsia="zh-CN"/>
        </w:rPr>
        <w:t>二</w:t>
      </w:r>
      <w:r>
        <w:rPr>
          <w:rFonts w:hint="eastAsia" w:ascii="仿宋_GB2312" w:hAnsi="仿宋_GB2312" w:eastAsia="仿宋_GB2312" w:cs="仿宋_GB2312"/>
          <w:color w:val="000000"/>
          <w:spacing w:val="0"/>
          <w:w w:val="100"/>
          <w:position w:val="0"/>
          <w:sz w:val="32"/>
          <w:szCs w:val="32"/>
          <w:highlight w:val="none"/>
        </w:rPr>
        <w:t>）</w:t>
      </w:r>
      <w:r>
        <w:rPr>
          <w:rFonts w:hint="eastAsia" w:ascii="仿宋_GB2312" w:hAnsi="仿宋_GB2312" w:eastAsia="仿宋_GB2312" w:cs="仿宋_GB2312"/>
          <w:color w:val="000000"/>
          <w:spacing w:val="0"/>
          <w:w w:val="100"/>
          <w:position w:val="0"/>
          <w:sz w:val="32"/>
          <w:szCs w:val="32"/>
          <w:highlight w:val="none"/>
          <w:lang w:eastAsia="zh-CN"/>
        </w:rPr>
        <w:t>无特殊情况</w:t>
      </w:r>
      <w:r>
        <w:rPr>
          <w:rFonts w:hint="eastAsia" w:ascii="仿宋_GB2312" w:hAnsi="仿宋_GB2312" w:eastAsia="仿宋_GB2312" w:cs="仿宋_GB2312"/>
          <w:color w:val="000000"/>
          <w:spacing w:val="0"/>
          <w:w w:val="100"/>
          <w:position w:val="0"/>
          <w:sz w:val="32"/>
          <w:szCs w:val="32"/>
          <w:highlight w:val="none"/>
        </w:rPr>
        <w:t>在站内</w:t>
      </w:r>
      <w:r>
        <w:rPr>
          <w:rFonts w:hint="eastAsia" w:ascii="仿宋_GB2312" w:hAnsi="仿宋_GB2312" w:eastAsia="仿宋_GB2312" w:cs="仿宋_GB2312"/>
          <w:color w:val="000000"/>
          <w:spacing w:val="0"/>
          <w:w w:val="100"/>
          <w:position w:val="0"/>
          <w:sz w:val="32"/>
          <w:szCs w:val="32"/>
          <w:highlight w:val="none"/>
          <w:lang w:eastAsia="zh-CN"/>
        </w:rPr>
        <w:t>或</w:t>
      </w:r>
      <w:r>
        <w:rPr>
          <w:rFonts w:hint="eastAsia" w:ascii="仿宋_GB2312" w:hAnsi="仿宋_GB2312" w:eastAsia="仿宋_GB2312" w:cs="仿宋_GB2312"/>
          <w:color w:val="000000"/>
          <w:spacing w:val="0"/>
          <w:w w:val="100"/>
          <w:position w:val="0"/>
          <w:sz w:val="32"/>
          <w:szCs w:val="32"/>
          <w:highlight w:val="none"/>
        </w:rPr>
        <w:t>楼梯</w:t>
      </w:r>
      <w:r>
        <w:rPr>
          <w:rFonts w:hint="eastAsia" w:ascii="仿宋_GB2312" w:hAnsi="仿宋_GB2312" w:eastAsia="仿宋_GB2312" w:cs="仿宋_GB2312"/>
          <w:color w:val="000000"/>
          <w:spacing w:val="0"/>
          <w:w w:val="100"/>
          <w:position w:val="0"/>
          <w:sz w:val="32"/>
          <w:szCs w:val="32"/>
          <w:highlight w:val="none"/>
          <w:lang w:eastAsia="zh-CN"/>
        </w:rPr>
        <w:t>、</w:t>
      </w:r>
      <w:r>
        <w:rPr>
          <w:rFonts w:hint="eastAsia" w:ascii="仿宋_GB2312" w:hAnsi="仿宋_GB2312" w:eastAsia="仿宋_GB2312" w:cs="仿宋_GB2312"/>
          <w:color w:val="000000"/>
          <w:spacing w:val="0"/>
          <w:w w:val="100"/>
          <w:position w:val="0"/>
          <w:sz w:val="32"/>
          <w:szCs w:val="32"/>
          <w:highlight w:val="none"/>
        </w:rPr>
        <w:t>疏散通道等长时间滞留；</w:t>
      </w:r>
    </w:p>
    <w:p>
      <w:pPr>
        <w:pStyle w:val="10"/>
        <w:keepNext w:val="0"/>
        <w:keepLines w:val="0"/>
        <w:pageBreakBefore w:val="0"/>
        <w:widowControl w:val="0"/>
        <w:shd w:val="clear" w:color="auto" w:fill="auto"/>
        <w:tabs>
          <w:tab w:val="left" w:pos="1618"/>
        </w:tabs>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color w:val="000000"/>
          <w:spacing w:val="0"/>
          <w:w w:val="100"/>
          <w:position w:val="0"/>
          <w:sz w:val="32"/>
          <w:szCs w:val="32"/>
          <w:highlight w:val="none"/>
        </w:rPr>
      </w:pPr>
      <w:r>
        <w:rPr>
          <w:rFonts w:hint="eastAsia" w:ascii="仿宋_GB2312" w:hAnsi="仿宋_GB2312" w:eastAsia="仿宋_GB2312" w:cs="仿宋_GB2312"/>
          <w:color w:val="000000"/>
          <w:spacing w:val="0"/>
          <w:w w:val="100"/>
          <w:position w:val="0"/>
          <w:sz w:val="32"/>
          <w:szCs w:val="32"/>
          <w:highlight w:val="none"/>
        </w:rPr>
        <w:t>（十</w:t>
      </w:r>
      <w:r>
        <w:rPr>
          <w:rFonts w:hint="eastAsia" w:ascii="仿宋_GB2312" w:hAnsi="仿宋_GB2312" w:eastAsia="仿宋_GB2312" w:cs="仿宋_GB2312"/>
          <w:color w:val="000000"/>
          <w:spacing w:val="0"/>
          <w:w w:val="100"/>
          <w:position w:val="0"/>
          <w:sz w:val="32"/>
          <w:szCs w:val="32"/>
          <w:highlight w:val="none"/>
          <w:lang w:val="en-US" w:eastAsia="zh-CN"/>
        </w:rPr>
        <w:t>三</w:t>
      </w:r>
      <w:r>
        <w:rPr>
          <w:rFonts w:hint="eastAsia" w:ascii="仿宋_GB2312" w:hAnsi="仿宋_GB2312" w:eastAsia="仿宋_GB2312" w:cs="仿宋_GB2312"/>
          <w:color w:val="000000"/>
          <w:spacing w:val="0"/>
          <w:w w:val="100"/>
          <w:position w:val="0"/>
          <w:sz w:val="32"/>
          <w:szCs w:val="32"/>
          <w:highlight w:val="none"/>
        </w:rPr>
        <w:t>）在车站和列车内滋扰乘客的行为</w:t>
      </w:r>
      <w:r>
        <w:rPr>
          <w:rFonts w:hint="eastAsia" w:ascii="仿宋_GB2312" w:hAnsi="仿宋_GB2312" w:eastAsia="仿宋_GB2312" w:cs="仿宋_GB2312"/>
          <w:color w:val="000000"/>
          <w:spacing w:val="0"/>
          <w:w w:val="100"/>
          <w:position w:val="0"/>
          <w:sz w:val="32"/>
          <w:szCs w:val="32"/>
          <w:highlight w:val="none"/>
          <w:lang w:eastAsia="zh-CN"/>
        </w:rPr>
        <w:t>；</w:t>
      </w:r>
    </w:p>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color w:val="000000"/>
          <w:spacing w:val="0"/>
          <w:w w:val="100"/>
          <w:position w:val="0"/>
          <w:sz w:val="32"/>
          <w:szCs w:val="32"/>
          <w:highlight w:val="none"/>
        </w:rPr>
        <w:t>（十</w:t>
      </w:r>
      <w:r>
        <w:rPr>
          <w:rFonts w:hint="eastAsia" w:ascii="仿宋_GB2312" w:hAnsi="仿宋_GB2312" w:eastAsia="仿宋_GB2312" w:cs="仿宋_GB2312"/>
          <w:color w:val="000000"/>
          <w:spacing w:val="0"/>
          <w:w w:val="100"/>
          <w:position w:val="0"/>
          <w:sz w:val="32"/>
          <w:szCs w:val="32"/>
          <w:highlight w:val="none"/>
          <w:lang w:val="en-US" w:eastAsia="zh-CN"/>
        </w:rPr>
        <w:t>四</w:t>
      </w:r>
      <w:r>
        <w:rPr>
          <w:rFonts w:hint="eastAsia" w:ascii="仿宋_GB2312" w:hAnsi="仿宋_GB2312" w:eastAsia="仿宋_GB2312" w:cs="仿宋_GB2312"/>
          <w:color w:val="000000"/>
          <w:spacing w:val="0"/>
          <w:w w:val="100"/>
          <w:position w:val="0"/>
          <w:sz w:val="32"/>
          <w:szCs w:val="32"/>
          <w:highlight w:val="none"/>
        </w:rPr>
        <w:t>）其他影响城市轨道交通公共场所容貌、环境卫生</w:t>
      </w:r>
      <w:r>
        <w:rPr>
          <w:rFonts w:hint="eastAsia" w:ascii="仿宋_GB2312" w:hAnsi="仿宋_GB2312" w:eastAsia="仿宋_GB2312" w:cs="仿宋_GB2312"/>
          <w:color w:val="000000"/>
          <w:spacing w:val="0"/>
          <w:w w:val="100"/>
          <w:position w:val="0"/>
          <w:sz w:val="32"/>
          <w:szCs w:val="32"/>
          <w:highlight w:val="none"/>
          <w:lang w:eastAsia="zh-CN"/>
        </w:rPr>
        <w:t>、</w:t>
      </w:r>
      <w:r>
        <w:rPr>
          <w:rFonts w:hint="eastAsia" w:ascii="仿宋_GB2312" w:hAnsi="仿宋_GB2312" w:eastAsia="仿宋_GB2312" w:cs="仿宋_GB2312"/>
          <w:strike w:val="0"/>
          <w:dstrike w:val="0"/>
          <w:color w:val="000000"/>
          <w:spacing w:val="0"/>
          <w:w w:val="100"/>
          <w:position w:val="0"/>
          <w:sz w:val="32"/>
          <w:szCs w:val="32"/>
          <w:highlight w:val="none"/>
        </w:rPr>
        <w:t>运营秩序</w:t>
      </w:r>
      <w:r>
        <w:rPr>
          <w:rFonts w:hint="eastAsia" w:ascii="仿宋_GB2312" w:hAnsi="仿宋_GB2312" w:eastAsia="仿宋_GB2312" w:cs="仿宋_GB2312"/>
          <w:color w:val="000000"/>
          <w:spacing w:val="0"/>
          <w:w w:val="100"/>
          <w:position w:val="0"/>
          <w:sz w:val="32"/>
          <w:szCs w:val="32"/>
          <w:highlight w:val="none"/>
        </w:rPr>
        <w:t>的行为。</w:t>
      </w:r>
    </w:p>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60" w:lineRule="exact"/>
        <w:ind w:left="0" w:right="0" w:firstLine="642"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b/>
          <w:bCs/>
          <w:color w:val="000000"/>
          <w:spacing w:val="0"/>
          <w:w w:val="100"/>
          <w:position w:val="0"/>
          <w:sz w:val="32"/>
          <w:szCs w:val="32"/>
          <w:highlight w:val="none"/>
        </w:rPr>
        <w:t>第十二条</w:t>
      </w:r>
      <w:r>
        <w:rPr>
          <w:rFonts w:hint="eastAsia" w:ascii="仿宋_GB2312" w:hAnsi="仿宋_GB2312" w:eastAsia="仿宋_GB2312" w:cs="仿宋_GB2312"/>
          <w:b/>
          <w:bCs/>
          <w:color w:val="000000"/>
          <w:spacing w:val="0"/>
          <w:w w:val="100"/>
          <w:position w:val="0"/>
          <w:sz w:val="32"/>
          <w:szCs w:val="32"/>
          <w:highlight w:val="none"/>
          <w:lang w:val="en-US" w:eastAsia="zh-CN"/>
        </w:rPr>
        <w:t xml:space="preserve"> </w:t>
      </w:r>
      <w:r>
        <w:rPr>
          <w:rFonts w:hint="eastAsia" w:ascii="仿宋_GB2312" w:hAnsi="仿宋_GB2312" w:eastAsia="仿宋_GB2312" w:cs="仿宋_GB2312"/>
          <w:color w:val="000000"/>
          <w:spacing w:val="0"/>
          <w:w w:val="100"/>
          <w:position w:val="0"/>
          <w:sz w:val="32"/>
          <w:szCs w:val="32"/>
          <w:highlight w:val="none"/>
        </w:rPr>
        <w:t>学龄前儿童、醉酒者、精神病患者、智障人士、行动不便者等乘客应当在健康成人的陪护下进站乘车。严重威胁公众健康的传染病、身体裸露不文明者不得进站乘车。</w:t>
      </w:r>
    </w:p>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60" w:lineRule="exact"/>
        <w:ind w:left="0" w:right="0" w:firstLine="642"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b/>
          <w:bCs/>
          <w:color w:val="000000"/>
          <w:spacing w:val="0"/>
          <w:w w:val="100"/>
          <w:position w:val="0"/>
          <w:sz w:val="32"/>
          <w:szCs w:val="32"/>
          <w:highlight w:val="none"/>
        </w:rPr>
        <w:t>第十三条</w:t>
      </w:r>
      <w:r>
        <w:rPr>
          <w:rFonts w:hint="eastAsia" w:ascii="仿宋_GB2312" w:hAnsi="仿宋_GB2312" w:eastAsia="仿宋_GB2312" w:cs="仿宋_GB2312"/>
          <w:b/>
          <w:bCs/>
          <w:color w:val="000000"/>
          <w:spacing w:val="0"/>
          <w:w w:val="100"/>
          <w:position w:val="0"/>
          <w:sz w:val="32"/>
          <w:szCs w:val="32"/>
          <w:highlight w:val="none"/>
          <w:lang w:val="en-US" w:eastAsia="zh-CN"/>
        </w:rPr>
        <w:t xml:space="preserve"> </w:t>
      </w:r>
      <w:r>
        <w:rPr>
          <w:rFonts w:hint="eastAsia" w:ascii="仿宋_GB2312" w:hAnsi="仿宋_GB2312" w:eastAsia="仿宋_GB2312" w:cs="仿宋_GB2312"/>
          <w:color w:val="000000"/>
          <w:spacing w:val="0"/>
          <w:w w:val="100"/>
          <w:position w:val="0"/>
          <w:sz w:val="32"/>
          <w:szCs w:val="32"/>
          <w:highlight w:val="none"/>
        </w:rPr>
        <w:t>乘客搭乘站内自动扶梯时，应当在扶梯台阶踏步警示线内站稳、握好扶手</w:t>
      </w:r>
      <w:r>
        <w:rPr>
          <w:rFonts w:hint="eastAsia" w:ascii="仿宋_GB2312" w:hAnsi="仿宋_GB2312" w:eastAsia="仿宋_GB2312" w:cs="仿宋_GB2312"/>
          <w:color w:val="000000"/>
          <w:spacing w:val="0"/>
          <w:w w:val="100"/>
          <w:position w:val="0"/>
          <w:sz w:val="32"/>
          <w:szCs w:val="32"/>
          <w:highlight w:val="none"/>
          <w:lang w:eastAsia="zh-CN"/>
        </w:rPr>
        <w:t>，</w:t>
      </w:r>
      <w:r>
        <w:rPr>
          <w:rFonts w:hint="eastAsia" w:ascii="仿宋_GB2312" w:hAnsi="仿宋_GB2312" w:eastAsia="仿宋_GB2312" w:cs="仿宋_GB2312"/>
          <w:color w:val="000000"/>
          <w:spacing w:val="0"/>
          <w:w w:val="100"/>
          <w:position w:val="0"/>
          <w:sz w:val="32"/>
          <w:szCs w:val="32"/>
          <w:highlight w:val="none"/>
        </w:rPr>
        <w:t>不要倚靠电扶梯</w:t>
      </w:r>
      <w:r>
        <w:rPr>
          <w:rFonts w:hint="eastAsia" w:ascii="仿宋_GB2312" w:hAnsi="仿宋_GB2312" w:eastAsia="仿宋_GB2312" w:cs="仿宋_GB2312"/>
          <w:color w:val="000000"/>
          <w:spacing w:val="0"/>
          <w:w w:val="100"/>
          <w:position w:val="0"/>
          <w:sz w:val="32"/>
          <w:szCs w:val="32"/>
          <w:highlight w:val="none"/>
          <w:lang w:eastAsia="zh-CN"/>
        </w:rPr>
        <w:t>，不要穿松散的鞋</w:t>
      </w:r>
      <w:r>
        <w:rPr>
          <w:rFonts w:hint="eastAsia" w:ascii="仿宋_GB2312" w:hAnsi="仿宋_GB2312" w:eastAsia="仿宋_GB2312" w:cs="仿宋_GB2312"/>
          <w:color w:val="000000"/>
          <w:spacing w:val="0"/>
          <w:w w:val="100"/>
          <w:position w:val="0"/>
          <w:sz w:val="32"/>
          <w:szCs w:val="32"/>
          <w:highlight w:val="none"/>
        </w:rPr>
        <w:t>；同行人应当照顾好儿童和老人，不得在扶梯上打闹、奔跑等有其它影响自身或者他人安全的行为。</w:t>
      </w:r>
    </w:p>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60" w:lineRule="exact"/>
        <w:ind w:left="0" w:right="0" w:firstLine="642"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b/>
          <w:bCs/>
          <w:color w:val="000000"/>
          <w:spacing w:val="0"/>
          <w:w w:val="100"/>
          <w:position w:val="0"/>
          <w:sz w:val="32"/>
          <w:szCs w:val="32"/>
          <w:highlight w:val="none"/>
        </w:rPr>
        <w:t>第十四条</w:t>
      </w:r>
      <w:r>
        <w:rPr>
          <w:rFonts w:hint="eastAsia" w:ascii="仿宋_GB2312" w:hAnsi="仿宋_GB2312" w:eastAsia="仿宋_GB2312" w:cs="仿宋_GB2312"/>
          <w:b/>
          <w:bCs/>
          <w:color w:val="000000"/>
          <w:spacing w:val="0"/>
          <w:w w:val="100"/>
          <w:position w:val="0"/>
          <w:sz w:val="32"/>
          <w:szCs w:val="32"/>
          <w:highlight w:val="none"/>
          <w:lang w:val="en-US" w:eastAsia="zh-CN"/>
        </w:rPr>
        <w:t xml:space="preserve"> </w:t>
      </w:r>
      <w:r>
        <w:rPr>
          <w:rFonts w:hint="eastAsia" w:ascii="仿宋_GB2312" w:hAnsi="仿宋_GB2312" w:eastAsia="仿宋_GB2312" w:cs="仿宋_GB2312"/>
          <w:color w:val="000000"/>
          <w:spacing w:val="0"/>
          <w:w w:val="100"/>
          <w:position w:val="0"/>
          <w:sz w:val="32"/>
          <w:szCs w:val="32"/>
          <w:highlight w:val="none"/>
        </w:rPr>
        <w:t>带小孩的乘客应当注意照看好随行的小孩，不得在车站、列车内互相推挤，以防掉下站台或者被列车挤伤；在车站、列车范围内行走，应时刻注意周边环境，不宜边行走、边查看移动电子设备；禁止在站台边缘与黄色安全线内行走、坐卧、放置物品或者倚靠站台门。</w:t>
      </w:r>
    </w:p>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60" w:lineRule="exact"/>
        <w:ind w:left="0" w:right="0" w:firstLine="642"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color w:val="000000"/>
          <w:spacing w:val="0"/>
          <w:w w:val="100"/>
          <w:position w:val="0"/>
          <w:sz w:val="32"/>
          <w:szCs w:val="32"/>
          <w:highlight w:val="none"/>
        </w:rPr>
        <w:t>第十五条</w:t>
      </w:r>
      <w:r>
        <w:rPr>
          <w:rFonts w:hint="eastAsia" w:ascii="仿宋_GB2312" w:hAnsi="仿宋_GB2312" w:eastAsia="仿宋_GB2312" w:cs="仿宋_GB2312"/>
          <w:b/>
          <w:bCs/>
          <w:color w:val="000000"/>
          <w:spacing w:val="0"/>
          <w:w w:val="100"/>
          <w:position w:val="0"/>
          <w:sz w:val="32"/>
          <w:szCs w:val="32"/>
          <w:highlight w:val="none"/>
          <w:lang w:val="en-US" w:eastAsia="zh-CN"/>
        </w:rPr>
        <w:t xml:space="preserve"> </w:t>
      </w:r>
      <w:r>
        <w:rPr>
          <w:rFonts w:hint="eastAsia" w:ascii="仿宋_GB2312" w:hAnsi="仿宋_GB2312" w:eastAsia="仿宋_GB2312" w:cs="仿宋_GB2312"/>
          <w:color w:val="000000"/>
          <w:spacing w:val="0"/>
          <w:w w:val="100"/>
          <w:position w:val="0"/>
          <w:sz w:val="32"/>
          <w:szCs w:val="32"/>
          <w:highlight w:val="none"/>
        </w:rPr>
        <w:t>乘客须在黄色安全线外按照地面指示标志排队候车，乘车时应当先下后上，注意列车与站台之间的空隙；当列</w:t>
      </w:r>
      <w:r>
        <w:rPr>
          <w:rFonts w:hint="eastAsia" w:ascii="仿宋_GB2312" w:hAnsi="仿宋_GB2312" w:eastAsia="仿宋_GB2312" w:cs="仿宋_GB2312"/>
          <w:color w:val="000000"/>
          <w:spacing w:val="0"/>
          <w:w w:val="100"/>
          <w:position w:val="0"/>
          <w:sz w:val="32"/>
          <w:szCs w:val="32"/>
        </w:rPr>
        <w:t>车关门提示警铃鸣响、车门及站台门警示灯亮时，应当停止上下车，乘车时不要手扶车门或者挤靠车门；上车后尽量往车厢中部靠拢，避免堵塞车门。</w:t>
      </w:r>
    </w:p>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60" w:lineRule="exact"/>
        <w:ind w:left="0" w:right="0"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pacing w:val="0"/>
          <w:w w:val="100"/>
          <w:position w:val="0"/>
          <w:sz w:val="32"/>
          <w:szCs w:val="32"/>
        </w:rPr>
        <w:t>列车到达终点站后，乘客应当尽快下车，不得在车厢内逗留。</w:t>
      </w:r>
    </w:p>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60" w:lineRule="exact"/>
        <w:ind w:left="0" w:right="0" w:firstLine="642"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color w:val="000000"/>
          <w:spacing w:val="0"/>
          <w:w w:val="100"/>
          <w:position w:val="0"/>
          <w:sz w:val="32"/>
          <w:szCs w:val="32"/>
        </w:rPr>
        <w:t>第十六条</w:t>
      </w:r>
      <w:r>
        <w:rPr>
          <w:rFonts w:hint="eastAsia" w:ascii="仿宋_GB2312" w:hAnsi="仿宋_GB2312" w:eastAsia="仿宋_GB2312" w:cs="仿宋_GB2312"/>
          <w:b/>
          <w:bCs/>
          <w:color w:val="000000"/>
          <w:spacing w:val="0"/>
          <w:w w:val="100"/>
          <w:position w:val="0"/>
          <w:sz w:val="32"/>
          <w:szCs w:val="32"/>
          <w:lang w:val="en-US" w:eastAsia="zh-CN"/>
        </w:rPr>
        <w:t xml:space="preserve"> </w:t>
      </w:r>
      <w:r>
        <w:rPr>
          <w:rFonts w:hint="eastAsia" w:ascii="仿宋_GB2312" w:hAnsi="仿宋_GB2312" w:eastAsia="仿宋_GB2312" w:cs="仿宋_GB2312"/>
          <w:color w:val="000000"/>
          <w:spacing w:val="0"/>
          <w:w w:val="100"/>
          <w:position w:val="0"/>
          <w:sz w:val="32"/>
          <w:szCs w:val="32"/>
        </w:rPr>
        <w:t>乘客应当主动给需要帮助的乘客让座，照顾老、幼、病、残、孕及抱小孩的乘客优先上下车。</w:t>
      </w:r>
    </w:p>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60" w:lineRule="exact"/>
        <w:ind w:left="0" w:right="0" w:firstLine="642"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color w:val="000000"/>
          <w:spacing w:val="0"/>
          <w:w w:val="100"/>
          <w:position w:val="0"/>
          <w:sz w:val="32"/>
          <w:szCs w:val="32"/>
        </w:rPr>
        <w:t>第十七条</w:t>
      </w:r>
      <w:r>
        <w:rPr>
          <w:rFonts w:hint="eastAsia" w:ascii="仿宋_GB2312" w:hAnsi="仿宋_GB2312" w:eastAsia="仿宋_GB2312" w:cs="仿宋_GB2312"/>
          <w:b/>
          <w:bCs/>
          <w:color w:val="000000"/>
          <w:spacing w:val="0"/>
          <w:w w:val="100"/>
          <w:position w:val="0"/>
          <w:sz w:val="32"/>
          <w:szCs w:val="32"/>
          <w:lang w:val="en-US" w:eastAsia="zh-CN"/>
        </w:rPr>
        <w:t xml:space="preserve"> </w:t>
      </w:r>
      <w:r>
        <w:rPr>
          <w:rFonts w:hint="eastAsia" w:ascii="仿宋_GB2312" w:hAnsi="仿宋_GB2312" w:eastAsia="仿宋_GB2312" w:cs="仿宋_GB2312"/>
          <w:color w:val="000000"/>
          <w:spacing w:val="0"/>
          <w:w w:val="100"/>
          <w:position w:val="0"/>
          <w:sz w:val="32"/>
          <w:szCs w:val="32"/>
        </w:rPr>
        <w:t>发生自然灾害、安全事故或者其他突发事件时，乘客应当保持镇静，遵守秩序并服从运营单位工作人员的指挥。</w:t>
      </w:r>
    </w:p>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60" w:lineRule="exact"/>
        <w:ind w:left="0" w:right="0" w:firstLine="642"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color w:val="000000"/>
          <w:spacing w:val="0"/>
          <w:w w:val="100"/>
          <w:position w:val="0"/>
          <w:sz w:val="32"/>
          <w:szCs w:val="32"/>
        </w:rPr>
        <w:t>第十八条</w:t>
      </w:r>
      <w:r>
        <w:rPr>
          <w:rFonts w:hint="eastAsia" w:ascii="仿宋_GB2312" w:hAnsi="仿宋_GB2312" w:eastAsia="仿宋_GB2312" w:cs="仿宋_GB2312"/>
          <w:b/>
          <w:bCs/>
          <w:color w:val="000000"/>
          <w:spacing w:val="0"/>
          <w:w w:val="100"/>
          <w:position w:val="0"/>
          <w:sz w:val="32"/>
          <w:szCs w:val="32"/>
          <w:lang w:val="en-US" w:eastAsia="zh-CN"/>
        </w:rPr>
        <w:t xml:space="preserve"> </w:t>
      </w:r>
      <w:r>
        <w:rPr>
          <w:rFonts w:hint="eastAsia" w:ascii="仿宋_GB2312" w:hAnsi="仿宋_GB2312" w:eastAsia="仿宋_GB2312" w:cs="仿宋_GB2312"/>
          <w:color w:val="000000"/>
          <w:spacing w:val="0"/>
          <w:w w:val="100"/>
          <w:position w:val="0"/>
          <w:sz w:val="32"/>
          <w:szCs w:val="32"/>
        </w:rPr>
        <w:t>因客流量激增，严重影响运营秩序、可能危及运营安全的情况下，运营单位可以采取限制客流的临时措施，乘客应当服从工作人员的指挥安排。</w:t>
      </w:r>
    </w:p>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60" w:lineRule="exact"/>
        <w:ind w:left="0" w:leftChars="0" w:right="0" w:firstLine="642"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color w:val="000000"/>
          <w:spacing w:val="0"/>
          <w:w w:val="100"/>
          <w:position w:val="0"/>
          <w:sz w:val="32"/>
          <w:szCs w:val="32"/>
        </w:rPr>
        <w:t>第十九条</w:t>
      </w:r>
      <w:r>
        <w:rPr>
          <w:rFonts w:hint="eastAsia" w:ascii="仿宋_GB2312" w:hAnsi="仿宋_GB2312" w:eastAsia="仿宋_GB2312" w:cs="仿宋_GB2312"/>
          <w:b/>
          <w:bCs/>
          <w:color w:val="000000"/>
          <w:spacing w:val="0"/>
          <w:w w:val="100"/>
          <w:position w:val="0"/>
          <w:sz w:val="32"/>
          <w:szCs w:val="32"/>
          <w:lang w:val="en-US" w:eastAsia="zh-CN"/>
        </w:rPr>
        <w:t xml:space="preserve"> </w:t>
      </w:r>
      <w:r>
        <w:rPr>
          <w:rFonts w:hint="eastAsia" w:ascii="仿宋_GB2312" w:hAnsi="仿宋_GB2312" w:eastAsia="仿宋_GB2312" w:cs="仿宋_GB2312"/>
          <w:color w:val="000000"/>
          <w:spacing w:val="0"/>
          <w:w w:val="100"/>
          <w:position w:val="0"/>
          <w:sz w:val="32"/>
          <w:szCs w:val="32"/>
        </w:rPr>
        <w:t>损害城市轨道交通设施、扰乱运营秩序以及危害运营安全、影响公共场所容貌和环境卫生的行为，运营单位有权对行为人进行劝阻和制止，可以责令行为人离开城市轨道交通设施或者拒绝为其提供客运服务，并依法告知有关行政管理部门进行处罚。</w:t>
      </w:r>
    </w:p>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60" w:lineRule="exact"/>
        <w:ind w:left="0" w:leftChars="0" w:right="0" w:firstLine="642"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color w:val="000000"/>
          <w:spacing w:val="0"/>
          <w:w w:val="100"/>
          <w:position w:val="0"/>
          <w:sz w:val="32"/>
          <w:szCs w:val="32"/>
        </w:rPr>
        <w:t>第二十条</w:t>
      </w:r>
      <w:r>
        <w:rPr>
          <w:rFonts w:hint="eastAsia" w:ascii="仿宋_GB2312" w:hAnsi="仿宋_GB2312" w:eastAsia="仿宋_GB2312" w:cs="仿宋_GB2312"/>
          <w:b/>
          <w:bCs/>
          <w:color w:val="000000"/>
          <w:spacing w:val="0"/>
          <w:w w:val="100"/>
          <w:position w:val="0"/>
          <w:sz w:val="32"/>
          <w:szCs w:val="32"/>
          <w:lang w:val="en-US" w:eastAsia="zh-CN"/>
        </w:rPr>
        <w:t xml:space="preserve"> </w:t>
      </w:r>
      <w:r>
        <w:rPr>
          <w:rFonts w:hint="eastAsia" w:ascii="仿宋_GB2312" w:hAnsi="仿宋_GB2312" w:eastAsia="仿宋_GB2312" w:cs="仿宋_GB2312"/>
          <w:color w:val="000000"/>
          <w:spacing w:val="0"/>
          <w:w w:val="100"/>
          <w:position w:val="0"/>
          <w:sz w:val="32"/>
          <w:szCs w:val="32"/>
        </w:rPr>
        <w:t>本守则由市轨道交通局负责解释。</w:t>
      </w:r>
    </w:p>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60" w:lineRule="exact"/>
        <w:ind w:left="0" w:leftChars="0" w:right="0" w:firstLine="642" w:firstLineChars="200"/>
        <w:jc w:val="both"/>
        <w:textAlignment w:val="auto"/>
        <w:rPr>
          <w:rFonts w:hint="eastAsia" w:ascii="仿宋_GB2312" w:hAnsi="仿宋_GB2312" w:eastAsia="仿宋_GB2312" w:cs="仿宋_GB2312"/>
          <w:color w:val="000000"/>
          <w:spacing w:val="0"/>
          <w:w w:val="100"/>
          <w:position w:val="0"/>
          <w:sz w:val="32"/>
          <w:szCs w:val="32"/>
        </w:rPr>
      </w:pPr>
      <w:r>
        <w:rPr>
          <w:rFonts w:hint="eastAsia" w:ascii="仿宋_GB2312" w:hAnsi="仿宋_GB2312" w:eastAsia="仿宋_GB2312" w:cs="仿宋_GB2312"/>
          <w:b/>
          <w:bCs/>
          <w:color w:val="000000"/>
          <w:spacing w:val="0"/>
          <w:w w:val="100"/>
          <w:position w:val="0"/>
          <w:sz w:val="32"/>
          <w:szCs w:val="32"/>
        </w:rPr>
        <w:t>第二十一条</w:t>
      </w:r>
      <w:r>
        <w:rPr>
          <w:rFonts w:hint="eastAsia" w:ascii="仿宋_GB2312" w:hAnsi="仿宋_GB2312" w:eastAsia="仿宋_GB2312" w:cs="仿宋_GB2312"/>
          <w:b/>
          <w:bCs/>
          <w:color w:val="000000"/>
          <w:spacing w:val="0"/>
          <w:w w:val="100"/>
          <w:position w:val="0"/>
          <w:sz w:val="32"/>
          <w:szCs w:val="32"/>
          <w:lang w:val="en-US" w:eastAsia="zh-CN"/>
        </w:rPr>
        <w:t xml:space="preserve"> </w:t>
      </w:r>
      <w:r>
        <w:rPr>
          <w:rFonts w:hint="eastAsia" w:ascii="仿宋_GB2312" w:hAnsi="仿宋_GB2312" w:eastAsia="仿宋_GB2312" w:cs="仿宋_GB2312"/>
          <w:color w:val="000000"/>
          <w:spacing w:val="0"/>
          <w:w w:val="100"/>
          <w:position w:val="0"/>
          <w:sz w:val="32"/>
          <w:szCs w:val="32"/>
        </w:rPr>
        <w:t>本守则自</w:t>
      </w:r>
      <w:r>
        <w:rPr>
          <w:rFonts w:hint="eastAsia" w:ascii="仿宋_GB2312" w:hAnsi="仿宋_GB2312" w:eastAsia="仿宋_GB2312" w:cs="仿宋_GB2312"/>
          <w:color w:val="000000"/>
          <w:spacing w:val="0"/>
          <w:w w:val="100"/>
          <w:position w:val="0"/>
          <w:sz w:val="32"/>
          <w:szCs w:val="32"/>
          <w:lang w:val="en-US" w:eastAsia="zh-CN"/>
        </w:rPr>
        <w:t>XXXX</w:t>
      </w:r>
      <w:r>
        <w:rPr>
          <w:rFonts w:hint="eastAsia" w:ascii="仿宋_GB2312" w:hAnsi="仿宋_GB2312" w:eastAsia="仿宋_GB2312" w:cs="仿宋_GB2312"/>
          <w:color w:val="000000"/>
          <w:spacing w:val="0"/>
          <w:w w:val="100"/>
          <w:position w:val="0"/>
          <w:sz w:val="32"/>
          <w:szCs w:val="32"/>
        </w:rPr>
        <w:t>年</w:t>
      </w:r>
      <w:r>
        <w:rPr>
          <w:rFonts w:hint="eastAsia" w:ascii="仿宋_GB2312" w:hAnsi="仿宋_GB2312" w:eastAsia="仿宋_GB2312" w:cs="仿宋_GB2312"/>
          <w:color w:val="000000"/>
          <w:spacing w:val="0"/>
          <w:w w:val="100"/>
          <w:position w:val="0"/>
          <w:sz w:val="32"/>
          <w:szCs w:val="32"/>
          <w:lang w:val="en-US" w:eastAsia="zh-CN"/>
        </w:rPr>
        <w:t>X</w:t>
      </w:r>
      <w:r>
        <w:rPr>
          <w:rFonts w:hint="eastAsia" w:ascii="仿宋_GB2312" w:hAnsi="仿宋_GB2312" w:eastAsia="仿宋_GB2312" w:cs="仿宋_GB2312"/>
          <w:color w:val="000000"/>
          <w:spacing w:val="0"/>
          <w:w w:val="100"/>
          <w:position w:val="0"/>
          <w:sz w:val="32"/>
          <w:szCs w:val="32"/>
        </w:rPr>
        <w:t>月</w:t>
      </w:r>
      <w:r>
        <w:rPr>
          <w:rFonts w:hint="eastAsia" w:ascii="仿宋_GB2312" w:hAnsi="仿宋_GB2312" w:eastAsia="仿宋_GB2312" w:cs="仿宋_GB2312"/>
          <w:color w:val="000000"/>
          <w:spacing w:val="0"/>
          <w:w w:val="100"/>
          <w:position w:val="0"/>
          <w:sz w:val="32"/>
          <w:szCs w:val="32"/>
          <w:lang w:val="en-US" w:eastAsia="zh-CN"/>
        </w:rPr>
        <w:t>X</w:t>
      </w:r>
      <w:r>
        <w:rPr>
          <w:rFonts w:hint="eastAsia" w:ascii="仿宋_GB2312" w:hAnsi="仿宋_GB2312" w:eastAsia="仿宋_GB2312" w:cs="仿宋_GB2312"/>
          <w:color w:val="000000"/>
          <w:spacing w:val="0"/>
          <w:w w:val="100"/>
          <w:position w:val="0"/>
          <w:sz w:val="32"/>
          <w:szCs w:val="32"/>
        </w:rPr>
        <w:t>日起实施，有效期至</w:t>
      </w:r>
      <w:r>
        <w:rPr>
          <w:rFonts w:hint="eastAsia" w:ascii="仿宋_GB2312" w:hAnsi="仿宋_GB2312" w:eastAsia="仿宋_GB2312" w:cs="仿宋_GB2312"/>
          <w:color w:val="000000"/>
          <w:spacing w:val="0"/>
          <w:w w:val="100"/>
          <w:position w:val="0"/>
          <w:sz w:val="32"/>
          <w:szCs w:val="32"/>
          <w:lang w:val="en-US" w:eastAsia="zh-CN"/>
        </w:rPr>
        <w:t>XXXX</w:t>
      </w:r>
      <w:r>
        <w:rPr>
          <w:rFonts w:hint="eastAsia" w:ascii="仿宋_GB2312" w:hAnsi="仿宋_GB2312" w:eastAsia="仿宋_GB2312" w:cs="仿宋_GB2312"/>
          <w:color w:val="000000"/>
          <w:spacing w:val="0"/>
          <w:w w:val="100"/>
          <w:position w:val="0"/>
          <w:sz w:val="32"/>
          <w:szCs w:val="32"/>
        </w:rPr>
        <w:t>年</w:t>
      </w:r>
      <w:r>
        <w:rPr>
          <w:rFonts w:hint="eastAsia" w:ascii="仿宋_GB2312" w:hAnsi="仿宋_GB2312" w:eastAsia="仿宋_GB2312" w:cs="仿宋_GB2312"/>
          <w:color w:val="000000"/>
          <w:spacing w:val="0"/>
          <w:w w:val="100"/>
          <w:position w:val="0"/>
          <w:sz w:val="32"/>
          <w:szCs w:val="32"/>
          <w:lang w:val="en-US" w:eastAsia="zh-CN"/>
        </w:rPr>
        <w:t>X</w:t>
      </w:r>
      <w:r>
        <w:rPr>
          <w:rFonts w:hint="eastAsia" w:ascii="仿宋_GB2312" w:hAnsi="仿宋_GB2312" w:eastAsia="仿宋_GB2312" w:cs="仿宋_GB2312"/>
          <w:color w:val="000000"/>
          <w:spacing w:val="0"/>
          <w:w w:val="100"/>
          <w:position w:val="0"/>
          <w:sz w:val="32"/>
          <w:szCs w:val="32"/>
        </w:rPr>
        <w:t>月</w:t>
      </w:r>
      <w:r>
        <w:rPr>
          <w:rFonts w:hint="eastAsia" w:ascii="仿宋_GB2312" w:hAnsi="仿宋_GB2312" w:eastAsia="仿宋_GB2312" w:cs="仿宋_GB2312"/>
          <w:color w:val="000000"/>
          <w:spacing w:val="0"/>
          <w:w w:val="100"/>
          <w:position w:val="0"/>
          <w:sz w:val="32"/>
          <w:szCs w:val="32"/>
          <w:lang w:val="en-US" w:eastAsia="zh-CN"/>
        </w:rPr>
        <w:t>X</w:t>
      </w:r>
      <w:r>
        <w:rPr>
          <w:rFonts w:hint="eastAsia" w:ascii="仿宋_GB2312" w:hAnsi="仿宋_GB2312" w:eastAsia="仿宋_GB2312" w:cs="仿宋_GB2312"/>
          <w:color w:val="000000"/>
          <w:spacing w:val="0"/>
          <w:w w:val="100"/>
          <w:position w:val="0"/>
          <w:sz w:val="32"/>
          <w:szCs w:val="32"/>
        </w:rPr>
        <w:t>日。</w:t>
      </w:r>
    </w:p>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220" w:line="560" w:lineRule="exact"/>
        <w:ind w:left="0" w:right="0" w:firstLine="780"/>
        <w:jc w:val="left"/>
        <w:textAlignment w:val="auto"/>
        <w:rPr>
          <w:rFonts w:hint="eastAsia" w:ascii="仿宋_GB2312" w:hAnsi="仿宋_GB2312" w:eastAsia="仿宋_GB2312" w:cs="仿宋_GB2312"/>
          <w:sz w:val="32"/>
          <w:szCs w:val="32"/>
          <w:lang w:val="en"/>
        </w:rPr>
      </w:pPr>
      <w:r>
        <w:rPr>
          <w:rFonts w:hint="eastAsia" w:ascii="仿宋_GB2312" w:hAnsi="仿宋_GB2312" w:eastAsia="仿宋_GB2312" w:cs="仿宋_GB2312"/>
          <w:color w:val="000000"/>
          <w:spacing w:val="0"/>
          <w:w w:val="100"/>
          <w:position w:val="0"/>
          <w:sz w:val="32"/>
          <w:szCs w:val="32"/>
        </w:rPr>
        <w:t>（本规范性文件已经市司法局合法性审查同意发布，编号为</w:t>
      </w:r>
      <w:r>
        <w:rPr>
          <w:rFonts w:hint="eastAsia" w:ascii="仿宋_GB2312" w:hAnsi="仿宋_GB2312" w:eastAsia="仿宋_GB2312" w:cs="仿宋_GB2312"/>
          <w:color w:val="000000"/>
          <w:spacing w:val="0"/>
          <w:w w:val="100"/>
          <w:position w:val="0"/>
          <w:sz w:val="32"/>
          <w:szCs w:val="32"/>
          <w:lang w:val="en-US" w:eastAsia="zh-CN" w:bidi="en-US"/>
        </w:rPr>
        <w:t>XXXXXXXXXX）</w:t>
      </w:r>
    </w:p>
    <w:sectPr>
      <w:footerReference r:id="rId5" w:type="default"/>
      <w:footerReference r:id="rId6" w:type="even"/>
      <w:footnotePr>
        <w:numFmt w:val="decimal"/>
      </w:footnotePr>
      <w:pgSz w:w="11900" w:h="16840"/>
      <w:pgMar w:top="1440" w:right="1800" w:bottom="1440" w:left="1800" w:header="0" w:footer="3" w:gutter="0"/>
      <w:cols w:space="720" w:num="1"/>
      <w:rtlGutter w:val="0"/>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p>
  </w:endnote>
  <w:endnote w:type="continuationSeparator" w:id="1">
    <w:p>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书宋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spacing w:line="1" w:lineRule="exact"/>
    </w:pPr>
    <w:r>
      <mc:AlternateContent>
        <mc:Choice Requires="wps">
          <w:drawing>
            <wp:anchor distT="0" distB="0" distL="0" distR="0" simplePos="0" relativeHeight="251659264" behindDoc="1" locked="0" layoutInCell="1" allowOverlap="1">
              <wp:simplePos x="0" y="0"/>
              <wp:positionH relativeFrom="page">
                <wp:posOffset>6233795</wp:posOffset>
              </wp:positionH>
              <wp:positionV relativeFrom="page">
                <wp:posOffset>10083800</wp:posOffset>
              </wp:positionV>
              <wp:extent cx="374650" cy="105410"/>
              <wp:effectExtent l="0" t="0" r="0" b="0"/>
              <wp:wrapNone/>
              <wp:docPr id="3" name="Shape 3"/>
              <wp:cNvGraphicFramePr/>
              <a:graphic xmlns:a="http://schemas.openxmlformats.org/drawingml/2006/main">
                <a:graphicData uri="http://schemas.microsoft.com/office/word/2010/wordprocessingShape">
                  <wps:wsp>
                    <wps:cNvSpPr txBox="true"/>
                    <wps:spPr>
                      <a:xfrm>
                        <a:off x="0" y="0"/>
                        <a:ext cx="374650" cy="105410"/>
                      </a:xfrm>
                      <a:prstGeom prst="rect">
                        <a:avLst/>
                      </a:prstGeom>
                      <a:noFill/>
                    </wps:spPr>
                    <wps:txbx>
                      <w:txbxContent>
                        <w:p>
                          <w:pPr>
                            <w:pStyle w:val="16"/>
                            <w:keepNext w:val="0"/>
                            <w:keepLines w:val="0"/>
                            <w:widowControl w:val="0"/>
                            <w:shd w:val="clear" w:color="auto" w:fill="auto"/>
                            <w:bidi w:val="0"/>
                            <w:spacing w:before="0" w:after="0" w:line="240" w:lineRule="auto"/>
                            <w:ind w:left="0" w:right="0" w:firstLine="0"/>
                            <w:jc w:val="left"/>
                          </w:pPr>
                          <w:r>
                            <w:rPr>
                              <w:rFonts w:ascii="Times New Roman" w:hAnsi="Times New Roman" w:eastAsia="Times New Roman" w:cs="Times New Roman"/>
                              <w:color w:val="000000"/>
                              <w:spacing w:val="0"/>
                              <w:w w:val="100"/>
                              <w:position w:val="0"/>
                              <w:sz w:val="24"/>
                              <w:szCs w:val="24"/>
                              <w:lang w:val="en-US" w:eastAsia="en-US" w:bidi="en-US"/>
                            </w:rPr>
                            <w:t>—</w:t>
                          </w:r>
                          <w:r>
                            <w:fldChar w:fldCharType="begin"/>
                          </w:r>
                          <w:r>
                            <w:instrText xml:space="preserve"> PAGE \* MERGEFORMAT </w:instrText>
                          </w:r>
                          <w:r>
                            <w:fldChar w:fldCharType="separate"/>
                          </w:r>
                          <w:r>
                            <w:rPr>
                              <w:rFonts w:ascii="Times New Roman" w:hAnsi="Times New Roman" w:eastAsia="Times New Roman" w:cs="Times New Roman"/>
                              <w:color w:val="000000"/>
                              <w:spacing w:val="0"/>
                              <w:w w:val="100"/>
                              <w:position w:val="0"/>
                              <w:sz w:val="24"/>
                              <w:szCs w:val="24"/>
                              <w:lang w:val="en-US" w:eastAsia="en-US" w:bidi="en-US"/>
                            </w:rPr>
                            <w:t>#</w:t>
                          </w:r>
                          <w:r>
                            <w:rPr>
                              <w:rFonts w:ascii="Times New Roman" w:hAnsi="Times New Roman" w:eastAsia="Times New Roman" w:cs="Times New Roman"/>
                              <w:color w:val="000000"/>
                              <w:spacing w:val="0"/>
                              <w:w w:val="100"/>
                              <w:position w:val="0"/>
                              <w:sz w:val="24"/>
                              <w:szCs w:val="24"/>
                              <w:lang w:val="en-US" w:eastAsia="en-US" w:bidi="en-US"/>
                            </w:rPr>
                            <w:fldChar w:fldCharType="end"/>
                          </w:r>
                          <w:r>
                            <w:rPr>
                              <w:rFonts w:ascii="Times New Roman" w:hAnsi="Times New Roman" w:eastAsia="Times New Roman" w:cs="Times New Roman"/>
                              <w:color w:val="000000"/>
                              <w:spacing w:val="0"/>
                              <w:w w:val="100"/>
                              <w:position w:val="0"/>
                              <w:sz w:val="24"/>
                              <w:szCs w:val="24"/>
                              <w:lang w:val="zh-TW" w:eastAsia="zh-TW" w:bidi="zh-TW"/>
                            </w:rPr>
                            <w:t>—</w:t>
                          </w:r>
                        </w:p>
                      </w:txbxContent>
                    </wps:txbx>
                    <wps:bodyPr wrap="none" lIns="0" tIns="0" rIns="0" bIns="0">
                      <a:spAutoFit/>
                    </wps:bodyPr>
                  </wps:wsp>
                </a:graphicData>
              </a:graphic>
            </wp:anchor>
          </w:drawing>
        </mc:Choice>
        <mc:Fallback>
          <w:pict>
            <v:shape id="Shape 3" o:spid="_x0000_s1026" o:spt="202" type="#_x0000_t202" style="position:absolute;left:0pt;margin-left:490.85pt;margin-top:794pt;height:8.3pt;width:29.5pt;mso-position-horizontal-relative:page;mso-position-vertical-relative:page;mso-wrap-style:none;z-index:-251657216;mso-width-relative:page;mso-height-relative:page;" filled="f" stroked="f" coordsize="21600,21600" o:gfxdata="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FgAAAGRycy9QSwECFAAUAAAACACHTuJA3c9LBNgAAAAO&#10;AQAADwAAAAAAAAABACAAAAA4AAAAZHJzL2Rvd25yZXYueG1sUEsBAhQAFAAAAAgAh07iQCzYwKCU&#10;AQAAJAMAAA4AAAAAAAAAAQAgAAAAPQEAAGRycy9lMm9Eb2MueG1sUEsFBgAAAAAGAAYAWQEAAEMF&#10;AAAAAA==&#10;">
              <v:fill on="f" focussize="0,0"/>
              <v:stroke on="f"/>
              <v:imagedata o:title=""/>
              <o:lock v:ext="edit" aspectratio="f"/>
              <v:textbox inset="0mm,0mm,0mm,0mm" style="mso-fit-shape-to-text:t;">
                <w:txbxContent>
                  <w:p>
                    <w:pPr>
                      <w:pStyle w:val="16"/>
                      <w:keepNext w:val="0"/>
                      <w:keepLines w:val="0"/>
                      <w:widowControl w:val="0"/>
                      <w:shd w:val="clear" w:color="auto" w:fill="auto"/>
                      <w:bidi w:val="0"/>
                      <w:spacing w:before="0" w:after="0" w:line="240" w:lineRule="auto"/>
                      <w:ind w:left="0" w:right="0" w:firstLine="0"/>
                      <w:jc w:val="left"/>
                    </w:pPr>
                    <w:r>
                      <w:rPr>
                        <w:rFonts w:ascii="Times New Roman" w:hAnsi="Times New Roman" w:eastAsia="Times New Roman" w:cs="Times New Roman"/>
                        <w:color w:val="000000"/>
                        <w:spacing w:val="0"/>
                        <w:w w:val="100"/>
                        <w:position w:val="0"/>
                        <w:sz w:val="24"/>
                        <w:szCs w:val="24"/>
                        <w:lang w:val="en-US" w:eastAsia="en-US" w:bidi="en-US"/>
                      </w:rPr>
                      <w:t>—</w:t>
                    </w:r>
                    <w:r>
                      <w:fldChar w:fldCharType="begin"/>
                    </w:r>
                    <w:r>
                      <w:instrText xml:space="preserve"> PAGE \* MERGEFORMAT </w:instrText>
                    </w:r>
                    <w:r>
                      <w:fldChar w:fldCharType="separate"/>
                    </w:r>
                    <w:r>
                      <w:rPr>
                        <w:rFonts w:ascii="Times New Roman" w:hAnsi="Times New Roman" w:eastAsia="Times New Roman" w:cs="Times New Roman"/>
                        <w:color w:val="000000"/>
                        <w:spacing w:val="0"/>
                        <w:w w:val="100"/>
                        <w:position w:val="0"/>
                        <w:sz w:val="24"/>
                        <w:szCs w:val="24"/>
                        <w:lang w:val="en-US" w:eastAsia="en-US" w:bidi="en-US"/>
                      </w:rPr>
                      <w:t>#</w:t>
                    </w:r>
                    <w:r>
                      <w:rPr>
                        <w:rFonts w:ascii="Times New Roman" w:hAnsi="Times New Roman" w:eastAsia="Times New Roman" w:cs="Times New Roman"/>
                        <w:color w:val="000000"/>
                        <w:spacing w:val="0"/>
                        <w:w w:val="100"/>
                        <w:position w:val="0"/>
                        <w:sz w:val="24"/>
                        <w:szCs w:val="24"/>
                        <w:lang w:val="en-US" w:eastAsia="en-US" w:bidi="en-US"/>
                      </w:rPr>
                      <w:fldChar w:fldCharType="end"/>
                    </w:r>
                    <w:r>
                      <w:rPr>
                        <w:rFonts w:ascii="Times New Roman" w:hAnsi="Times New Roman" w:eastAsia="Times New Roman" w:cs="Times New Roman"/>
                        <w:color w:val="000000"/>
                        <w:spacing w:val="0"/>
                        <w:w w:val="100"/>
                        <w:position w:val="0"/>
                        <w:sz w:val="24"/>
                        <w:szCs w:val="24"/>
                        <w:lang w:val="zh-TW" w:eastAsia="zh-TW" w:bidi="zh-TW"/>
                      </w:rPr>
                      <w:t>—</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spacing w:line="1" w:lineRule="exact"/>
    </w:pPr>
    <w:r>
      <mc:AlternateContent>
        <mc:Choice Requires="wps">
          <w:drawing>
            <wp:anchor distT="0" distB="0" distL="0" distR="0" simplePos="0" relativeHeight="251659264" behindDoc="1" locked="0" layoutInCell="1" allowOverlap="1">
              <wp:simplePos x="0" y="0"/>
              <wp:positionH relativeFrom="page">
                <wp:posOffset>975995</wp:posOffset>
              </wp:positionH>
              <wp:positionV relativeFrom="page">
                <wp:posOffset>10052050</wp:posOffset>
              </wp:positionV>
              <wp:extent cx="374650" cy="105410"/>
              <wp:effectExtent l="0" t="0" r="0" b="0"/>
              <wp:wrapNone/>
              <wp:docPr id="5" name="Shape 5"/>
              <wp:cNvGraphicFramePr/>
              <a:graphic xmlns:a="http://schemas.openxmlformats.org/drawingml/2006/main">
                <a:graphicData uri="http://schemas.microsoft.com/office/word/2010/wordprocessingShape">
                  <wps:wsp>
                    <wps:cNvSpPr txBox="true"/>
                    <wps:spPr>
                      <a:xfrm>
                        <a:off x="0" y="0"/>
                        <a:ext cx="374650" cy="105410"/>
                      </a:xfrm>
                      <a:prstGeom prst="rect">
                        <a:avLst/>
                      </a:prstGeom>
                      <a:noFill/>
                    </wps:spPr>
                    <wps:txbx>
                      <w:txbxContent>
                        <w:p>
                          <w:pPr>
                            <w:pStyle w:val="16"/>
                            <w:keepNext w:val="0"/>
                            <w:keepLines w:val="0"/>
                            <w:widowControl w:val="0"/>
                            <w:shd w:val="clear" w:color="auto" w:fill="auto"/>
                            <w:bidi w:val="0"/>
                            <w:spacing w:before="0" w:after="0" w:line="240" w:lineRule="auto"/>
                            <w:ind w:left="0" w:right="0" w:firstLine="0"/>
                            <w:jc w:val="left"/>
                          </w:pPr>
                          <w:r>
                            <w:rPr>
                              <w:rFonts w:ascii="Times New Roman" w:hAnsi="Times New Roman" w:eastAsia="Times New Roman" w:cs="Times New Roman"/>
                              <w:color w:val="000000"/>
                              <w:spacing w:val="0"/>
                              <w:w w:val="100"/>
                              <w:position w:val="0"/>
                              <w:sz w:val="24"/>
                              <w:szCs w:val="24"/>
                              <w:lang w:val="en-US" w:eastAsia="en-US" w:bidi="en-US"/>
                            </w:rPr>
                            <w:t>—</w:t>
                          </w:r>
                          <w:r>
                            <w:fldChar w:fldCharType="begin"/>
                          </w:r>
                          <w:r>
                            <w:instrText xml:space="preserve"> PAGE \* MERGEFORMAT </w:instrText>
                          </w:r>
                          <w:r>
                            <w:fldChar w:fldCharType="separate"/>
                          </w:r>
                          <w:r>
                            <w:rPr>
                              <w:rFonts w:ascii="Times New Roman" w:hAnsi="Times New Roman" w:eastAsia="Times New Roman" w:cs="Times New Roman"/>
                              <w:color w:val="000000"/>
                              <w:spacing w:val="0"/>
                              <w:w w:val="100"/>
                              <w:position w:val="0"/>
                              <w:sz w:val="24"/>
                              <w:szCs w:val="24"/>
                              <w:lang w:val="en-US" w:eastAsia="en-US" w:bidi="en-US"/>
                            </w:rPr>
                            <w:t>#</w:t>
                          </w:r>
                          <w:r>
                            <w:rPr>
                              <w:rFonts w:ascii="Times New Roman" w:hAnsi="Times New Roman" w:eastAsia="Times New Roman" w:cs="Times New Roman"/>
                              <w:color w:val="000000"/>
                              <w:spacing w:val="0"/>
                              <w:w w:val="100"/>
                              <w:position w:val="0"/>
                              <w:sz w:val="24"/>
                              <w:szCs w:val="24"/>
                              <w:lang w:val="en-US" w:eastAsia="en-US" w:bidi="en-US"/>
                            </w:rPr>
                            <w:fldChar w:fldCharType="end"/>
                          </w:r>
                          <w:r>
                            <w:rPr>
                              <w:rFonts w:ascii="Times New Roman" w:hAnsi="Times New Roman" w:eastAsia="Times New Roman" w:cs="Times New Roman"/>
                              <w:color w:val="000000"/>
                              <w:spacing w:val="0"/>
                              <w:w w:val="100"/>
                              <w:position w:val="0"/>
                              <w:sz w:val="24"/>
                              <w:szCs w:val="24"/>
                              <w:lang w:val="zh-TW" w:eastAsia="zh-TW" w:bidi="zh-TW"/>
                            </w:rPr>
                            <w:t>—</w:t>
                          </w:r>
                        </w:p>
                      </w:txbxContent>
                    </wps:txbx>
                    <wps:bodyPr wrap="none" lIns="0" tIns="0" rIns="0" bIns="0">
                      <a:spAutoFit/>
                    </wps:bodyPr>
                  </wps:wsp>
                </a:graphicData>
              </a:graphic>
            </wp:anchor>
          </w:drawing>
        </mc:Choice>
        <mc:Fallback>
          <w:pict>
            <v:shape id="Shape 5" o:spid="_x0000_s1026" o:spt="202" type="#_x0000_t202" style="position:absolute;left:0pt;margin-left:76.85pt;margin-top:791.5pt;height:8.3pt;width:29.5pt;mso-position-horizontal-relative:page;mso-position-vertical-relative:page;mso-wrap-style:none;z-index:-251657216;mso-width-relative:page;mso-height-relative:page;" filled="f" stroked="f" coordsize="21600,21600" o:gfxdata="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">
              <v:fill on="f" focussize="0,0"/>
              <v:stroke on="f"/>
              <v:imagedata o:title=""/>
              <o:lock v:ext="edit" aspectratio="f"/>
              <v:textbox inset="0mm,0mm,0mm,0mm" style="mso-fit-shape-to-text:t;">
                <w:txbxContent>
                  <w:p>
                    <w:pPr>
                      <w:pStyle w:val="16"/>
                      <w:keepNext w:val="0"/>
                      <w:keepLines w:val="0"/>
                      <w:widowControl w:val="0"/>
                      <w:shd w:val="clear" w:color="auto" w:fill="auto"/>
                      <w:bidi w:val="0"/>
                      <w:spacing w:before="0" w:after="0" w:line="240" w:lineRule="auto"/>
                      <w:ind w:left="0" w:right="0" w:firstLine="0"/>
                      <w:jc w:val="left"/>
                    </w:pPr>
                    <w:r>
                      <w:rPr>
                        <w:rFonts w:ascii="Times New Roman" w:hAnsi="Times New Roman" w:eastAsia="Times New Roman" w:cs="Times New Roman"/>
                        <w:color w:val="000000"/>
                        <w:spacing w:val="0"/>
                        <w:w w:val="100"/>
                        <w:position w:val="0"/>
                        <w:sz w:val="24"/>
                        <w:szCs w:val="24"/>
                        <w:lang w:val="en-US" w:eastAsia="en-US" w:bidi="en-US"/>
                      </w:rPr>
                      <w:t>—</w:t>
                    </w:r>
                    <w:r>
                      <w:fldChar w:fldCharType="begin"/>
                    </w:r>
                    <w:r>
                      <w:instrText xml:space="preserve"> PAGE \* MERGEFORMAT </w:instrText>
                    </w:r>
                    <w:r>
                      <w:fldChar w:fldCharType="separate"/>
                    </w:r>
                    <w:r>
                      <w:rPr>
                        <w:rFonts w:ascii="Times New Roman" w:hAnsi="Times New Roman" w:eastAsia="Times New Roman" w:cs="Times New Roman"/>
                        <w:color w:val="000000"/>
                        <w:spacing w:val="0"/>
                        <w:w w:val="100"/>
                        <w:position w:val="0"/>
                        <w:sz w:val="24"/>
                        <w:szCs w:val="24"/>
                        <w:lang w:val="en-US" w:eastAsia="en-US" w:bidi="en-US"/>
                      </w:rPr>
                      <w:t>#</w:t>
                    </w:r>
                    <w:r>
                      <w:rPr>
                        <w:rFonts w:ascii="Times New Roman" w:hAnsi="Times New Roman" w:eastAsia="Times New Roman" w:cs="Times New Roman"/>
                        <w:color w:val="000000"/>
                        <w:spacing w:val="0"/>
                        <w:w w:val="100"/>
                        <w:position w:val="0"/>
                        <w:sz w:val="24"/>
                        <w:szCs w:val="24"/>
                        <w:lang w:val="en-US" w:eastAsia="en-US" w:bidi="en-US"/>
                      </w:rPr>
                      <w:fldChar w:fldCharType="end"/>
                    </w:r>
                    <w:r>
                      <w:rPr>
                        <w:rFonts w:ascii="Times New Roman" w:hAnsi="Times New Roman" w:eastAsia="Times New Roman" w:cs="Times New Roman"/>
                        <w:color w:val="000000"/>
                        <w:spacing w:val="0"/>
                        <w:w w:val="100"/>
                        <w:position w:val="0"/>
                        <w:sz w:val="24"/>
                        <w:szCs w:val="24"/>
                        <w:lang w:val="zh-TW" w:eastAsia="zh-TW" w:bidi="zh-TW"/>
                      </w:rPr>
                      <w:t>—</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p>
  </w:footnote>
  <w:footnote w:type="continuationSeparator" w:id="1">
    <w:p>
      <w:pPr>
        <w:spacing w:line="240" w:lineRule="auto"/>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false"/>
  <w:bordersDoNotSurroundFooter w:val="false"/>
  <w:documentProtection w:enforcement="0"/>
  <w:evenAndOddHeaders w:val="true"/>
  <w:drawingGridHorizontalSpacing w:val="181"/>
  <w:drawingGridVerticalSpacing w:val="181"/>
  <w:displayHorizontalDrawingGridEvery w:val="1"/>
  <w:displayVerticalDrawingGridEvery w:val="1"/>
  <w:noPunctuationKerning w:val="true"/>
  <w:characterSpacingControl w:val="compressPunctuation"/>
  <w:footnotePr>
    <w:footnote w:id="0"/>
    <w:footnote w:id="1"/>
  </w:footnotePr>
  <w:endnotePr>
    <w:endnote w:id="0"/>
    <w:endnote w:id="1"/>
  </w:endnotePr>
  <w:compat>
    <w:doNotExpandShiftReturn/>
    <w:doNotWrapTextWithPunct/>
    <w:doNotUseEastAsianBreakRules/>
    <w:useFELayout/>
    <w:doNotUseIndentAsNumberingTabStop/>
    <w:compatSetting w:name="compatibilityMode" w:uri="http://schemas.microsoft.com/office/word" w:val="15"/>
  </w:compat>
  <w:rsids>
    <w:rsidRoot w:val="00000000"/>
    <w:rsid w:val="00B23426"/>
    <w:rsid w:val="02AC5A72"/>
    <w:rsid w:val="04F56A45"/>
    <w:rsid w:val="050F13AA"/>
    <w:rsid w:val="08083C62"/>
    <w:rsid w:val="08F02CB9"/>
    <w:rsid w:val="09353BD7"/>
    <w:rsid w:val="0ADE3BB0"/>
    <w:rsid w:val="0BD402F5"/>
    <w:rsid w:val="0D6F0E30"/>
    <w:rsid w:val="0EF80C90"/>
    <w:rsid w:val="104E60CE"/>
    <w:rsid w:val="111B1F9F"/>
    <w:rsid w:val="13515442"/>
    <w:rsid w:val="17023688"/>
    <w:rsid w:val="18041AC7"/>
    <w:rsid w:val="18DD40DB"/>
    <w:rsid w:val="1B143C89"/>
    <w:rsid w:val="1BE62AD2"/>
    <w:rsid w:val="21251147"/>
    <w:rsid w:val="22125EF5"/>
    <w:rsid w:val="22F247AB"/>
    <w:rsid w:val="29DB05EB"/>
    <w:rsid w:val="2BD9047F"/>
    <w:rsid w:val="2E9637FB"/>
    <w:rsid w:val="2FE547A2"/>
    <w:rsid w:val="30F20CAF"/>
    <w:rsid w:val="311D7D22"/>
    <w:rsid w:val="349537D0"/>
    <w:rsid w:val="37FC647C"/>
    <w:rsid w:val="390F0881"/>
    <w:rsid w:val="39312A71"/>
    <w:rsid w:val="39FBE568"/>
    <w:rsid w:val="3AE20C43"/>
    <w:rsid w:val="3B4975EA"/>
    <w:rsid w:val="3C8614C9"/>
    <w:rsid w:val="3CD165D4"/>
    <w:rsid w:val="3DD84AF9"/>
    <w:rsid w:val="3FB745B9"/>
    <w:rsid w:val="41CC21FF"/>
    <w:rsid w:val="462F27B3"/>
    <w:rsid w:val="491B189F"/>
    <w:rsid w:val="4A3E3280"/>
    <w:rsid w:val="4CC67484"/>
    <w:rsid w:val="4D3D469F"/>
    <w:rsid w:val="4E577FC3"/>
    <w:rsid w:val="4F61484A"/>
    <w:rsid w:val="527505D4"/>
    <w:rsid w:val="532D7D83"/>
    <w:rsid w:val="5491544C"/>
    <w:rsid w:val="55C90E67"/>
    <w:rsid w:val="56476FD8"/>
    <w:rsid w:val="57C4334A"/>
    <w:rsid w:val="588A5FD1"/>
    <w:rsid w:val="59F84E85"/>
    <w:rsid w:val="5E92619F"/>
    <w:rsid w:val="62D132E2"/>
    <w:rsid w:val="65D5369F"/>
    <w:rsid w:val="68665F57"/>
    <w:rsid w:val="6A8E0DDF"/>
    <w:rsid w:val="6BFD341F"/>
    <w:rsid w:val="6D6F471B"/>
    <w:rsid w:val="6F4E535C"/>
    <w:rsid w:val="71991D6D"/>
    <w:rsid w:val="72E81FCA"/>
    <w:rsid w:val="72EF6F81"/>
    <w:rsid w:val="733F223C"/>
    <w:rsid w:val="739F35DC"/>
    <w:rsid w:val="73E160C5"/>
    <w:rsid w:val="73FF5B17"/>
    <w:rsid w:val="741F659C"/>
    <w:rsid w:val="7566482B"/>
    <w:rsid w:val="77F263D0"/>
    <w:rsid w:val="77FD7967"/>
    <w:rsid w:val="77FF7C0F"/>
    <w:rsid w:val="7BED001C"/>
    <w:rsid w:val="7BFF17D8"/>
    <w:rsid w:val="7DEB9CC2"/>
    <w:rsid w:val="7ED01BD3"/>
    <w:rsid w:val="8FFBFF64"/>
    <w:rsid w:val="9E2D731E"/>
    <w:rsid w:val="B7BC44FE"/>
    <w:rsid w:val="DBEDDED6"/>
    <w:rsid w:val="DBFE5951"/>
    <w:rsid w:val="DFF69965"/>
    <w:rsid w:val="FFE75B0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eepNext w:val="0"/>
      <w:keepLines w:val="0"/>
      <w:widowControl w:val="0"/>
      <w:shd w:val="clear" w:color="auto" w:fill="auto"/>
      <w:bidi w:val="0"/>
      <w:spacing w:before="0" w:after="0" w:line="240" w:lineRule="auto"/>
      <w:ind w:left="0" w:right="0" w:firstLine="0"/>
      <w:jc w:val="left"/>
    </w:pPr>
    <w:rPr>
      <w:rFonts w:ascii="Times New Roman" w:hAnsi="Times New Roman" w:eastAsia="Times New Roman" w:cs="Times New Roman"/>
      <w:color w:val="000000"/>
      <w:spacing w:val="0"/>
      <w:w w:val="100"/>
      <w:position w:val="0"/>
      <w:sz w:val="24"/>
      <w:szCs w:val="24"/>
      <w:shd w:val="clear" w:color="auto" w:fill="auto"/>
      <w:lang w:val="en-US" w:eastAsia="en-US" w:bidi="en-US"/>
    </w:rPr>
  </w:style>
  <w:style w:type="character" w:default="1" w:styleId="5">
    <w:name w:val="Default Paragraph Font"/>
    <w:qFormat/>
    <w:uiPriority w:val="0"/>
    <w:rPr>
      <w:rFonts w:ascii="Times New Roman" w:hAnsi="Times New Roman" w:eastAsia="Times New Roman" w:cs="Times New Roman"/>
      <w:color w:val="000000"/>
      <w:spacing w:val="0"/>
      <w:w w:val="100"/>
      <w:position w:val="0"/>
      <w:sz w:val="24"/>
      <w:szCs w:val="24"/>
      <w:shd w:val="clear" w:color="auto" w:fill="auto"/>
      <w:lang w:val="en-US" w:eastAsia="en-US" w:bidi="en-US"/>
    </w:rPr>
  </w:style>
  <w:style w:type="table" w:default="1" w:styleId="4">
    <w:name w:val="Normal Table"/>
    <w:semiHidden/>
    <w:qFormat/>
    <w:uiPriority w:val="0"/>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customStyle="1" w:styleId="7">
    <w:name w:val="Heading #1|1_"/>
    <w:basedOn w:val="5"/>
    <w:link w:val="8"/>
    <w:qFormat/>
    <w:uiPriority w:val="0"/>
    <w:rPr>
      <w:rFonts w:ascii="宋体" w:hAnsi="宋体" w:eastAsia="宋体" w:cs="宋体"/>
      <w:color w:val="D40F27"/>
      <w:sz w:val="108"/>
      <w:szCs w:val="108"/>
      <w:u w:val="none"/>
      <w:shd w:val="clear" w:color="auto" w:fill="auto"/>
      <w:lang w:val="zh-TW" w:eastAsia="zh-TW" w:bidi="zh-TW"/>
    </w:rPr>
  </w:style>
  <w:style w:type="paragraph" w:customStyle="1" w:styleId="8">
    <w:name w:val="Heading #1|1"/>
    <w:basedOn w:val="1"/>
    <w:link w:val="7"/>
    <w:qFormat/>
    <w:uiPriority w:val="0"/>
    <w:pPr>
      <w:widowControl w:val="0"/>
      <w:shd w:val="clear" w:color="auto" w:fill="auto"/>
      <w:spacing w:before="3560" w:after="500"/>
      <w:outlineLvl w:val="0"/>
    </w:pPr>
    <w:rPr>
      <w:rFonts w:ascii="宋体" w:hAnsi="宋体" w:eastAsia="宋体" w:cs="宋体"/>
      <w:color w:val="D40F27"/>
      <w:sz w:val="108"/>
      <w:szCs w:val="108"/>
      <w:u w:val="none"/>
      <w:shd w:val="clear" w:color="auto" w:fill="auto"/>
      <w:lang w:val="zh-TW" w:eastAsia="zh-TW" w:bidi="zh-TW"/>
    </w:rPr>
  </w:style>
  <w:style w:type="character" w:customStyle="1" w:styleId="9">
    <w:name w:val="Body text|1_"/>
    <w:basedOn w:val="5"/>
    <w:link w:val="10"/>
    <w:qFormat/>
    <w:uiPriority w:val="0"/>
    <w:rPr>
      <w:rFonts w:ascii="宋体" w:hAnsi="宋体" w:eastAsia="宋体" w:cs="宋体"/>
      <w:sz w:val="30"/>
      <w:szCs w:val="30"/>
      <w:u w:val="none"/>
      <w:shd w:val="clear" w:color="auto" w:fill="auto"/>
      <w:lang w:val="zh-TW" w:eastAsia="zh-TW" w:bidi="zh-TW"/>
    </w:rPr>
  </w:style>
  <w:style w:type="paragraph" w:customStyle="1" w:styleId="10">
    <w:name w:val="Body text|1"/>
    <w:basedOn w:val="1"/>
    <w:link w:val="9"/>
    <w:qFormat/>
    <w:uiPriority w:val="0"/>
    <w:pPr>
      <w:widowControl w:val="0"/>
      <w:shd w:val="clear" w:color="auto" w:fill="auto"/>
      <w:spacing w:line="396" w:lineRule="auto"/>
      <w:ind w:firstLine="400"/>
    </w:pPr>
    <w:rPr>
      <w:rFonts w:ascii="宋体" w:hAnsi="宋体" w:eastAsia="宋体" w:cs="宋体"/>
      <w:sz w:val="30"/>
      <w:szCs w:val="30"/>
      <w:u w:val="none"/>
      <w:shd w:val="clear" w:color="auto" w:fill="auto"/>
      <w:lang w:val="zh-TW" w:eastAsia="zh-TW" w:bidi="zh-TW"/>
    </w:rPr>
  </w:style>
  <w:style w:type="character" w:customStyle="1" w:styleId="11">
    <w:name w:val="Heading #2|1_"/>
    <w:basedOn w:val="5"/>
    <w:link w:val="12"/>
    <w:qFormat/>
    <w:uiPriority w:val="0"/>
    <w:rPr>
      <w:rFonts w:ascii="宋体" w:hAnsi="宋体" w:eastAsia="宋体" w:cs="宋体"/>
      <w:sz w:val="44"/>
      <w:szCs w:val="44"/>
      <w:u w:val="none"/>
      <w:shd w:val="clear" w:color="auto" w:fill="auto"/>
      <w:lang w:val="zh-TW" w:eastAsia="zh-TW" w:bidi="zh-TW"/>
    </w:rPr>
  </w:style>
  <w:style w:type="paragraph" w:customStyle="1" w:styleId="12">
    <w:name w:val="Heading #2|1"/>
    <w:basedOn w:val="1"/>
    <w:link w:val="11"/>
    <w:qFormat/>
    <w:uiPriority w:val="0"/>
    <w:pPr>
      <w:widowControl w:val="0"/>
      <w:shd w:val="clear" w:color="auto" w:fill="auto"/>
      <w:spacing w:after="530" w:line="576" w:lineRule="exact"/>
      <w:jc w:val="center"/>
      <w:outlineLvl w:val="1"/>
    </w:pPr>
    <w:rPr>
      <w:rFonts w:ascii="宋体" w:hAnsi="宋体" w:eastAsia="宋体" w:cs="宋体"/>
      <w:sz w:val="44"/>
      <w:szCs w:val="44"/>
      <w:u w:val="none"/>
      <w:shd w:val="clear" w:color="auto" w:fill="auto"/>
      <w:lang w:val="zh-TW" w:eastAsia="zh-TW" w:bidi="zh-TW"/>
    </w:rPr>
  </w:style>
  <w:style w:type="character" w:customStyle="1" w:styleId="13">
    <w:name w:val="Header or footer|2_"/>
    <w:basedOn w:val="5"/>
    <w:link w:val="14"/>
    <w:qFormat/>
    <w:uiPriority w:val="0"/>
    <w:rPr>
      <w:sz w:val="20"/>
      <w:szCs w:val="20"/>
      <w:u w:val="none"/>
      <w:shd w:val="clear" w:color="auto" w:fill="auto"/>
    </w:rPr>
  </w:style>
  <w:style w:type="paragraph" w:customStyle="1" w:styleId="14">
    <w:name w:val="Header or footer|2"/>
    <w:basedOn w:val="1"/>
    <w:link w:val="13"/>
    <w:qFormat/>
    <w:uiPriority w:val="0"/>
    <w:pPr>
      <w:widowControl w:val="0"/>
      <w:shd w:val="clear" w:color="auto" w:fill="auto"/>
    </w:pPr>
    <w:rPr>
      <w:sz w:val="20"/>
      <w:szCs w:val="20"/>
      <w:u w:val="none"/>
      <w:shd w:val="clear" w:color="auto" w:fill="auto"/>
    </w:rPr>
  </w:style>
  <w:style w:type="character" w:customStyle="1" w:styleId="15">
    <w:name w:val="Header or footer|1_"/>
    <w:basedOn w:val="5"/>
    <w:link w:val="16"/>
    <w:qFormat/>
    <w:uiPriority w:val="0"/>
    <w:rPr>
      <w:u w:val="none"/>
      <w:shd w:val="clear" w:color="auto" w:fill="auto"/>
    </w:rPr>
  </w:style>
  <w:style w:type="paragraph" w:customStyle="1" w:styleId="16">
    <w:name w:val="Header or footer|1"/>
    <w:basedOn w:val="1"/>
    <w:link w:val="15"/>
    <w:qFormat/>
    <w:uiPriority w:val="0"/>
    <w:pPr>
      <w:widowControl w:val="0"/>
      <w:shd w:val="clear" w:color="auto" w:fill="auto"/>
    </w:pPr>
    <w:rPr>
      <w:u w:val="none"/>
      <w:shd w:val="clear" w:color="auto" w:fill="auto"/>
    </w:rPr>
  </w:style>
  <w:style w:type="character" w:customStyle="1" w:styleId="17">
    <w:name w:val="Body text|2_"/>
    <w:basedOn w:val="5"/>
    <w:link w:val="18"/>
    <w:qFormat/>
    <w:uiPriority w:val="0"/>
    <w:rPr>
      <w:sz w:val="30"/>
      <w:szCs w:val="30"/>
      <w:u w:val="none"/>
      <w:shd w:val="clear" w:color="auto" w:fill="auto"/>
    </w:rPr>
  </w:style>
  <w:style w:type="paragraph" w:customStyle="1" w:styleId="18">
    <w:name w:val="Body text|2"/>
    <w:basedOn w:val="1"/>
    <w:link w:val="17"/>
    <w:qFormat/>
    <w:uiPriority w:val="0"/>
    <w:pPr>
      <w:widowControl w:val="0"/>
      <w:shd w:val="clear" w:color="auto" w:fill="auto"/>
      <w:spacing w:after="220" w:line="391" w:lineRule="auto"/>
    </w:pPr>
    <w:rPr>
      <w:sz w:val="30"/>
      <w:szCs w:val="30"/>
      <w:u w:val="none"/>
      <w:shd w:val="clear" w:color="auto" w:fill="auto"/>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0</TotalTime>
  <ScaleCrop>false</ScaleCrop>
  <LinksUpToDate>false</LinksUpToDate>
  <Application>WPS Office_11.8.2.10422_F1E327BC-269C-435d-A152-05C5408002CA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2023-03-19T01:18:00Z</dcterms:created>
  <dc:creator>liyufen</dc:creator>
  <cp:lastModifiedBy>李敏</cp:lastModifiedBy>
  <dcterms:modified xsi:type="dcterms:W3CDTF">2023-11-17T16:35:03Z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y fmtid="{D5CDD505-2E9C-101B-9397-08002B2CF9AE}" pid="3" name="ICV">
    <vt:lpwstr>5917EB6DC7134364898EB9A4674A1581</vt:lpwstr>
  </property>
</Properties>
</file>